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BEC3D7">
      <w:pPr>
        <w:pStyle w:val="8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firstLine="0"/>
        <w:jc w:val="center"/>
        <w:textAlignment w:val="center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  <w14:ligatures w14:val="standardContextual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  <w14:ligatures w14:val="standardContextual"/>
        </w:rPr>
        <w:t>智慧课程建设标准</w:t>
      </w:r>
    </w:p>
    <w:p w14:paraId="3328E0D6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  <w14:ligatures w14:val="standardContextual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  <w14:ligatures w14:val="standardContextual"/>
        </w:rPr>
        <w:t>为规范智慧课程建设，提高建设质量与教学效果，制定本参考标准作为建设和认定评审依据。</w:t>
      </w:r>
    </w:p>
    <w:p w14:paraId="399524B2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  <w14:ligatures w14:val="standardContextual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  <w14:ligatures w14:val="standardContextual"/>
        </w:rPr>
        <w:t>一、总体要求</w:t>
      </w:r>
    </w:p>
    <w:p w14:paraId="6D031762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  <w14:ligatures w14:val="standardContextual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  <w14:ligatures w14:val="standardContextual"/>
        </w:rPr>
        <w:t>1.课程应已完成立项申报书中所列的建设任务，并实际投入教学应用（至少一个完整或接近完整的教学周期）。</w:t>
      </w:r>
    </w:p>
    <w:p w14:paraId="56A88A62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  <w14:ligatures w14:val="standardContextual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  <w14:ligatures w14:val="standardContextual"/>
        </w:rPr>
        <w:t>2.课程应体现“以学生为中心”的理念，在教学内容组织、教学活动设计、学习支持服务、学情分析评价等方面充分利用信息技术和人工智能，形成具有特色的智慧教学范式。</w:t>
      </w:r>
    </w:p>
    <w:p w14:paraId="6675ECC2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  <w14:ligatures w14:val="standardContextual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  <w14:ligatures w14:val="standardContextual"/>
        </w:rPr>
        <w:t>3.验收材料应真实、完整，能清晰展示课程建设过程与成效。鼓励课程负责人根据自身实际选择性提供材料，不要求面面俱到，也不对每一项设定严格的硬性数量指标，重在体现建设思路与实际效果。</w:t>
      </w:r>
    </w:p>
    <w:p w14:paraId="353366C3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  <w14:ligatures w14:val="standardContextual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  <w14:ligatures w14:val="standardContextual"/>
        </w:rPr>
        <w:t>4.课程资源应符合国家相关法律法规，知识产权清晰，无政治性、科学性错误。</w:t>
      </w:r>
    </w:p>
    <w:p w14:paraId="7E1EEC16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default" w:ascii="黑体" w:hAnsi="黑体" w:eastAsia="黑体" w:cs="黑体"/>
          <w:kern w:val="2"/>
          <w:sz w:val="32"/>
          <w:szCs w:val="32"/>
          <w:lang w:val="en-US" w:eastAsia="zh-CN" w:bidi="ar-SA"/>
          <w14:ligatures w14:val="standardContextual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  <w14:ligatures w14:val="standardContextual"/>
        </w:rPr>
        <w:t>二、具体标准</w:t>
      </w:r>
    </w:p>
    <w:p w14:paraId="3EEF8998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  <w:t>（一）课程目标优化</w:t>
      </w:r>
    </w:p>
    <w:p w14:paraId="609C81B7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  <w:t>智慧课程以培养新质人才为目标，应梳理从专业培养目标、毕业要求指标点到课程目标的关系，以此为依据优化课程目标。课程目标应清楚、具体，注重学生创新能力与实践能力培养，行为动词使用正确，阐述规范。</w:t>
      </w:r>
    </w:p>
    <w:p w14:paraId="0CC38E30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  <w:t>（二）课程内容重塑</w:t>
      </w:r>
    </w:p>
    <w:p w14:paraId="568957A4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  <w:t>课程应基于课程目标，融入最新科技成果和行业实践，强化产教融合、科教融汇，进行课程内容重构。鼓励打破传统章节顺序，按主题、项目或问题重组教学内容，增强课程的实用性和针对性。</w:t>
      </w:r>
    </w:p>
    <w:p w14:paraId="2BD1FE56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  <w:t>（三）AI知识库训练</w:t>
      </w:r>
    </w:p>
    <w:p w14:paraId="14D47CE9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  <w:t>1.课程AI知识库建设</w:t>
      </w:r>
    </w:p>
    <w:p w14:paraId="31E33182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  <w:t>1.1 课程应按照智慧课程平台要求，上传或关联课程相关的文档、视频、图片资料，组建课程专属知识库。建议每门课程关联至少1本教材或参考书，并上传教案、课件、案例等资料。</w:t>
      </w:r>
    </w:p>
    <w:p w14:paraId="4622EE11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  <w:t>1.2 智慧课程配套教学资源可以基于原有的资源共享课程、慕课、金课等现有教学资源，也可以按需制作相应资源，课程授课视频资源建议每学分不少于120分钟,2学分及以上课程整门课程视频总时长不少于240分钟。</w:t>
      </w:r>
    </w:p>
    <w:p w14:paraId="3CBBF31A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  <w:t>1.3 应建立知识库更新机制，保证资源的时效性、准确性和安全性。</w:t>
      </w:r>
    </w:p>
    <w:p w14:paraId="65F42A92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  <w:t>2.课程问答库建设</w:t>
      </w:r>
    </w:p>
    <w:p w14:paraId="7D410B80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  <w:t>针对常见问题和需要精准回答的问题，建设AI助教问答库。建议每门课程建立不少于20条问答，覆盖概念性问题、应用性问题、拓展性问题等类型。AI助教回答的准确率和学生满意率可作为参考指标，不作硬性通过要求，但建议课程团队持续优化。</w:t>
      </w:r>
    </w:p>
    <w:p w14:paraId="522D7445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  <w:t>（四）多元图谱设计</w:t>
      </w:r>
    </w:p>
    <w:p w14:paraId="22B05BB1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  <w:t>1.知识图谱</w:t>
      </w:r>
    </w:p>
    <w:p w14:paraId="36DC9BC6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  <w:t>课程应打破传统线性章节模式，梳理课程知识点，构建可视化的知识图谱。建议知识点总数不低于每学分30个（2学分课程不少于60个知识点），颗粒度合理。知识点应形成网状结构，标记关联关系（建议有关联关系的知识点不低于总知识点数的50%）。建议对知识点打标签（如重点、难点、考点等，不少于2类标签）。知识图谱应在平台可视、可检索、可动态更新。</w:t>
      </w:r>
    </w:p>
    <w:p w14:paraId="2D280E26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  <w:t>2.问题图谱</w:t>
      </w:r>
    </w:p>
    <w:p w14:paraId="4BCF0479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  <w:t>鼓励围绕高阶能力培养设计问题图谱。问题图谱可分层级：基本问题（建议每学分不少于6个）、组合问题（每学分不少于4个）、疑难复杂问题（每学分不少于1个），每个问题应关联相应知识点。问题图谱不要求完全达标，以体现设计思路为主。</w:t>
      </w:r>
    </w:p>
    <w:p w14:paraId="2F3183E4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  <w:t>3.目标图谱（可选）</w:t>
      </w:r>
    </w:p>
    <w:p w14:paraId="1A0468C0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  <w:t>根据专业培养目标中的能力达成要求，构建目标图谱，梳理支撑每个课程目标的知识点。课程目标一般不少于3个，关联知识点数可灵活掌握。</w:t>
      </w:r>
    </w:p>
    <w:p w14:paraId="03A0DA49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  <w:t>4. 课程思政图谱</w:t>
      </w:r>
    </w:p>
    <w:p w14:paraId="17B44D51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  <w:t>围绕课程育人主线，标记课程思政标签，形成思政图谱。建议思政知识点不少于10个，关联思政资源不少于20个。</w:t>
      </w:r>
    </w:p>
    <w:p w14:paraId="1616714A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  <w:t>5.自定义图谱（可选）</w:t>
      </w:r>
    </w:p>
    <w:p w14:paraId="219EFA37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  <w:t>鼓励根据教学设计理念和课程特点，建设课程能力图谱、岗位胜任力图谱等。</w:t>
      </w:r>
    </w:p>
    <w:p w14:paraId="2B89E1E0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  <w:t>（五）数字资源建设</w:t>
      </w:r>
    </w:p>
    <w:p w14:paraId="5A235EF4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  <w:t>根据教学模式实际需求，组织建设教学资源并与知识图谱关联。建议每个知识点关联资源不少于2个（如PPT、视频、案例等），每个知识点关联试题不少于2道。资源应分类清晰，易于检索。鼓励按知识点拍摄或制作讲解视频，也鼓励利用AI数字人技术生成教师数字分身制作视频（可选）。题库应及时更新，建议总题量不少于100题（2学分课程），至少能满足组成2套完整试卷。</w:t>
      </w:r>
    </w:p>
    <w:p w14:paraId="07C3D33E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  <w:t>（六）教学任务设计</w:t>
      </w:r>
    </w:p>
    <w:p w14:paraId="016AF04A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  <w:t>基于任务引擎创设以学生为中心、高阶能力培养为导向的综合任务设计。建议每门课程设计不少于每学分1个学习任务（2学分课程不少于2个任务），任务形式可包括项目任务、问题驱动任务、实践任务等。每项任务可设置多个分组或关卡，整合资源学习、讨论、测试、AI实践等多种活动。鼓励开展闯关模式、分支教学、分组教学等个性化教学实践。</w:t>
      </w:r>
    </w:p>
    <w:p w14:paraId="07D741A5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  <w:t>（七）课程评价设计</w:t>
      </w:r>
    </w:p>
    <w:p w14:paraId="657DF3D7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14:ligatures w14:val="standardContextual"/>
        </w:rPr>
        <w:t>针对课程目标设计评价体系，发挥形成性评价和终结性评价的各自优势，采用多元评价方法（自评、互评、教师评价、AI评价等）。成绩权重构成应合理，能有效评价学生知识、能力与思维的发展。建议过程性评价（含线上学习数据、AI评价数据）占总评成绩的比例不低于20%，不高于50%，具体由课程性质决定。</w:t>
      </w:r>
    </w:p>
    <w:p w14:paraId="729C2448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  <w14:ligatures w14:val="standardContextual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  <w14:ligatures w14:val="standardContextual"/>
        </w:rPr>
        <w:t>（八）精准化因材施教</w:t>
      </w:r>
    </w:p>
    <w:p w14:paraId="3A94BA11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  <w14:ligatures w14:val="standardContextual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  <w14:ligatures w14:val="standardContextual"/>
        </w:rPr>
        <w:t>1.学习行为数据采集</w:t>
      </w:r>
    </w:p>
    <w:p w14:paraId="7FB92A0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  <w14:ligatures w14:val="standardContextual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  <w14:ligatures w14:val="standardContextual"/>
        </w:rPr>
        <w:t>平台应能自动采集多维度学习行为数据，建议不少于5类（如学习进度、视频观看时长、测验完成情况、讨论参与度、登录频次等）。通过数据及时了解学生画像，跟进学生难点、薄弱点。</w:t>
      </w:r>
    </w:p>
    <w:p w14:paraId="2C848245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  <w14:ligatures w14:val="standardContextual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  <w14:ligatures w14:val="standardContextual"/>
        </w:rPr>
        <w:t>2.学习成果量化分析</w:t>
      </w:r>
    </w:p>
    <w:p w14:paraId="41112EBD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  <w14:ligatures w14:val="standardContextual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  <w14:ligatures w14:val="standardContextual"/>
        </w:rPr>
        <w:t>对学生的学习成果进行量化分析，如成绩分布、知识点掌握对比、进步曲线等。建议分析不同学习群体（如高、中、低学业水平学生）的学习效果差异，为精准干预提供依据。</w:t>
      </w:r>
    </w:p>
    <w:p w14:paraId="3DAF6DB9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  <w14:ligatures w14:val="standardContextual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  <w14:ligatures w14:val="standardContextual"/>
        </w:rPr>
        <w:t>（九）课程推广与示范</w:t>
      </w:r>
    </w:p>
    <w:p w14:paraId="75F92B5A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  <w14:ligatures w14:val="standardContextual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  <w14:ligatures w14:val="standardContextual"/>
        </w:rPr>
        <w:t>总结人工智能在课程教学中的应用实效，形成具有本课程特色和一定推广价值的教学范式。建议每学期在学院或学校层面至少开展1次智慧课程建设交流活动（如研讨会、公开课、教学沙龙等）。鼓励形成完整的智慧课程教学应用案例（不少于1个），包含教学设计、平台数据支撑、实施分析与成效反思。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F08420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DFA57D3"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DFA57D3"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052EB6"/>
    <w:rsid w:val="06052EB6"/>
    <w:rsid w:val="0D2A6460"/>
    <w:rsid w:val="143C2A55"/>
    <w:rsid w:val="145853B5"/>
    <w:rsid w:val="2E693FEF"/>
    <w:rsid w:val="40FB5855"/>
    <w:rsid w:val="60874625"/>
    <w:rsid w:val="69DF4B8A"/>
    <w:rsid w:val="6E421B8B"/>
    <w:rsid w:val="6EA75E92"/>
    <w:rsid w:val="766C25C5"/>
    <w:rsid w:val="79393B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paragraph" w:styleId="5">
    <w:name w:val="heading 4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4"/>
      <w:szCs w:val="24"/>
      <w:lang w:val="en-US" w:eastAsia="zh-CN" w:bidi="ar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  <w:rPr>
      <w:rFonts w:ascii="Times New Roman" w:hAnsi="Times New Roman" w:eastAsia="宋体" w:cs="Times New Roman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07c29b5f-bbfb-4f5d-8bd6-f8d342968a33</errorID>
      <errorWord>晰</errorWord>
      <group>L1_Word</group>
      <groupName>字词问题</groupName>
      <ability>L2_Typo</ability>
      <abilityName>字词错误</abilityName>
      <candidateList>
        <item>晰地</item>
      </candidateList>
      <explain/>
      <paraID>6675ECC2</paraID>
      <start>15</start>
      <end>16</end>
      <status>ignored</status>
      <modifiedWord/>
      <trackRevisions>false</trackRevisions>
    </reviewItem>
    <reviewItem>
      <errorID>7903cb98-b045-45d7-be25-69fc5d7b0e32</errorID>
      <errorWord>指标点</errorWord>
      <group>L1_Word</group>
      <groupName>字词问题</groupName>
      <ability>L2_Typo</ability>
      <abilityName>字词错误</abilityName>
      <candidateList>
        <item>指标</item>
      </candidateList>
      <explain/>
      <paraID>609C81B7</paraID>
      <start>30</start>
      <end>33</end>
      <status>ignored</status>
      <modifiedWord/>
      <trackRevisions>false</trackRevisions>
    </reviewItem>
    <reviewItem>
      <errorID>93e7853b-d2de-496c-ad0f-7758bfe57871</errorID>
      <errorWord>,</errorWord>
      <group>L1_Format</group>
      <groupName>格式问题</groupName>
      <ability>L2_HalfPunc_CN</ability>
      <abilityName>全半角检查</abilityName>
      <candidateList>
        <item>，</item>
      </candidateList>
      <explain>文本全半角错误。</explain>
      <paraID>4622EE11</paraID>
      <start>74</start>
      <end>75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13fd5b7-6a92-45db-82f9-eb3754ab553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2137</Words>
  <Characters>2184</Characters>
  <Lines>0</Lines>
  <Paragraphs>0</Paragraphs>
  <TotalTime>12</TotalTime>
  <ScaleCrop>false</ScaleCrop>
  <LinksUpToDate>false</LinksUpToDate>
  <CharactersWithSpaces>2188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2026-06-05T06:05:00Z</dcterms:created>
  <dc:creator>芝麻</dc:creator>
  <cp:lastModifiedBy>芝麻</cp:lastModifiedBy>
  <dcterms:modified xsi:type="dcterms:W3CDTF">2026-06-16T07:51:03Z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4A6D6F7329284F5E92BC1A296F2A973B_13</vt:lpwstr>
  </property>
  <property fmtid="{D5CDD505-2E9C-101B-9397-08002B2CF9AE}" pid="4" name="KSOTemplateDocerSaveRecord">
    <vt:lpwstr>eyJoZGlkIjoiMmU5MzM3YTMzOWYyYWNjNjc5MjhlNjBlYWUzZmE3YjMiLCJ1c2VySWQiOiIzMTYxNzUxMjMifQ==</vt:lpwstr>
  </property>
</Properties>
</file>