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95146">
      <w:pPr>
        <w:keepNext w:val="0"/>
        <w:keepLines w:val="0"/>
        <w:pageBreakBefore w:val="0"/>
        <w:widowControl w:val="0"/>
        <w:kinsoku/>
        <w:wordWrap/>
        <w:overflowPunct/>
        <w:topLinePunct w:val="0"/>
        <w:autoSpaceDE/>
        <w:autoSpaceDN/>
        <w:bidi w:val="0"/>
        <w:adjustRightInd w:val="0"/>
        <w:snapToGrid w:val="0"/>
        <w:spacing w:afterAutospacing="0" w:line="560" w:lineRule="exact"/>
        <w:jc w:val="center"/>
        <w:textAlignment w:val="auto"/>
        <w:rPr>
          <w:rFonts w:hint="eastAsia" w:ascii="方正小标宋简体" w:hAnsi="方正小标宋简体" w:eastAsia="方正小标宋简体" w:cs="方正小标宋简体"/>
          <w:b/>
          <w:bCs/>
          <w:spacing w:val="-8"/>
          <w:sz w:val="32"/>
          <w:szCs w:val="32"/>
        </w:rPr>
      </w:pPr>
      <w:r>
        <w:rPr>
          <w:rFonts w:hint="eastAsia" w:ascii="方正小标宋简体" w:hAnsi="方正小标宋简体" w:eastAsia="方正小标宋简体" w:cs="方正小标宋简体"/>
          <w:b/>
          <w:bCs/>
          <w:spacing w:val="-8"/>
          <w:sz w:val="32"/>
          <w:szCs w:val="32"/>
          <w:lang w:val="en-US" w:eastAsia="zh-CN"/>
        </w:rPr>
        <w:t>南昌应用技术师范学院</w:t>
      </w:r>
      <w:r>
        <w:rPr>
          <w:rFonts w:hint="eastAsia" w:ascii="方正小标宋简体" w:hAnsi="方正小标宋简体" w:eastAsia="方正小标宋简体" w:cs="方正小标宋简体"/>
          <w:b/>
          <w:bCs/>
          <w:spacing w:val="-8"/>
          <w:sz w:val="32"/>
          <w:szCs w:val="32"/>
          <w:lang w:eastAsia="zh-CN"/>
        </w:rPr>
        <w:t>2024-2025</w:t>
      </w:r>
      <w:r>
        <w:rPr>
          <w:rFonts w:hint="eastAsia" w:ascii="方正小标宋简体" w:hAnsi="方正小标宋简体" w:eastAsia="方正小标宋简体" w:cs="方正小标宋简体"/>
          <w:b/>
          <w:bCs/>
          <w:spacing w:val="-8"/>
          <w:sz w:val="32"/>
          <w:szCs w:val="32"/>
        </w:rPr>
        <w:t>学年本科教学质量报告</w:t>
      </w:r>
    </w:p>
    <w:p w14:paraId="79ECE9B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楷体" w:hAnsi="楷体" w:eastAsia="楷体" w:cs="楷体"/>
          <w:b/>
          <w:bCs/>
          <w:spacing w:val="-8"/>
          <w:sz w:val="32"/>
          <w:szCs w:val="32"/>
        </w:rPr>
        <w:t>一、本科教育基本情况</w:t>
      </w:r>
    </w:p>
    <w:p w14:paraId="6ED09E3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一）</w:t>
      </w:r>
      <w:r>
        <w:rPr>
          <w:rFonts w:hint="eastAsia" w:ascii="仿宋_GB2312" w:hAnsi="仿宋_GB2312" w:eastAsia="仿宋_GB2312" w:cs="仿宋_GB2312"/>
          <w:b/>
          <w:spacing w:val="-8"/>
          <w:sz w:val="32"/>
          <w:szCs w:val="32"/>
        </w:rPr>
        <w:t>本科人才培养目标及服务面向</w:t>
      </w:r>
    </w:p>
    <w:p w14:paraId="6E6E890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办学方向和宗旨：始终坚持中国共产党的领导，以习近平新时代中国特色社会主义思想为指导，全面贯彻党的教育方针，坚持马克思主义指导地位，坚持社会主义办学方向，落实立德树人根本任务，坚持教育公益性属性，以立德树人为目标、以工匠精神为指导、以职业技术为核心、以校企合作为路径，培养德智体美劳全面发展的高素质技术技能型人才。</w:t>
      </w:r>
    </w:p>
    <w:p w14:paraId="24CFEB3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pPr>
      <w:r>
        <w:rPr>
          <w:rFonts w:ascii="仿宋_GB2312" w:hAnsi="宋体" w:eastAsia="仿宋_GB2312" w:cs="仿宋_GB2312"/>
          <w:color w:val="000000"/>
          <w:kern w:val="0"/>
          <w:sz w:val="31"/>
          <w:szCs w:val="31"/>
          <w:lang w:val="en-US" w:eastAsia="zh-CN" w:bidi="ar"/>
        </w:rPr>
        <w:t>学校办学定位：坚持质量立校、人才强校、人文塑校的发</w:t>
      </w:r>
      <w:r>
        <w:rPr>
          <w:rFonts w:hint="eastAsia" w:ascii="仿宋_GB2312" w:hAnsi="宋体" w:eastAsia="仿宋_GB2312" w:cs="仿宋_GB2312"/>
          <w:color w:val="000000"/>
          <w:kern w:val="0"/>
          <w:sz w:val="31"/>
          <w:szCs w:val="31"/>
          <w:lang w:val="en-US" w:eastAsia="zh-CN" w:bidi="ar"/>
        </w:rPr>
        <w:t>展理念，以应用型人才培养为</w:t>
      </w:r>
      <w:r>
        <w:rPr>
          <w:rFonts w:hint="eastAsia" w:ascii="仿宋_GB2312" w:hAnsi="仿宋_GB2312" w:eastAsia="仿宋_GB2312" w:cs="仿宋_GB2312"/>
          <w:spacing w:val="-8"/>
          <w:sz w:val="32"/>
          <w:szCs w:val="32"/>
          <w:lang w:val="en-US" w:eastAsia="zh-CN"/>
        </w:rPr>
        <w:t>主线</w:t>
      </w:r>
      <w:r>
        <w:rPr>
          <w:rFonts w:hint="eastAsia" w:ascii="仿宋_GB2312" w:hAnsi="宋体" w:eastAsia="仿宋_GB2312" w:cs="仿宋_GB2312"/>
          <w:color w:val="000000"/>
          <w:kern w:val="0"/>
          <w:sz w:val="31"/>
          <w:szCs w:val="31"/>
          <w:lang w:val="en-US" w:eastAsia="zh-CN" w:bidi="ar"/>
        </w:rPr>
        <w:t>，坚定不移走“优、特、强”的差异化发展路径，</w:t>
      </w:r>
      <w:r>
        <w:rPr>
          <w:rFonts w:hint="eastAsia" w:ascii="仿宋_GB2312" w:hAnsi="仿宋_GB2312" w:eastAsia="仿宋_GB2312" w:cs="仿宋_GB2312"/>
          <w:spacing w:val="-8"/>
          <w:sz w:val="32"/>
          <w:szCs w:val="32"/>
          <w:lang w:val="en-US" w:eastAsia="zh-CN"/>
        </w:rPr>
        <w:t>服务</w:t>
      </w:r>
      <w:r>
        <w:rPr>
          <w:rFonts w:hint="eastAsia" w:ascii="仿宋_GB2312" w:hAnsi="宋体" w:eastAsia="仿宋_GB2312" w:cs="仿宋_GB2312"/>
          <w:color w:val="000000"/>
          <w:kern w:val="0"/>
          <w:sz w:val="31"/>
          <w:szCs w:val="31"/>
          <w:lang w:val="en-US" w:eastAsia="zh-CN" w:bidi="ar"/>
        </w:rPr>
        <w:t>地方经济社会发展，打造区域知名、特色鲜明的高水平应用型</w:t>
      </w:r>
      <w:r>
        <w:rPr>
          <w:rFonts w:hint="eastAsia" w:ascii="仿宋_GB2312" w:hAnsi="仿宋_GB2312" w:eastAsia="仿宋_GB2312" w:cs="仿宋_GB2312"/>
          <w:spacing w:val="-8"/>
          <w:sz w:val="32"/>
          <w:szCs w:val="32"/>
          <w:lang w:val="en-US" w:eastAsia="zh-CN"/>
        </w:rPr>
        <w:t>民办</w:t>
      </w:r>
      <w:r>
        <w:rPr>
          <w:rFonts w:hint="eastAsia" w:ascii="仿宋_GB2312" w:hAnsi="宋体" w:eastAsia="仿宋_GB2312" w:cs="仿宋_GB2312"/>
          <w:color w:val="000000"/>
          <w:kern w:val="0"/>
          <w:sz w:val="31"/>
          <w:szCs w:val="31"/>
          <w:lang w:val="en-US" w:eastAsia="zh-CN" w:bidi="ar"/>
        </w:rPr>
        <w:t>本科高校。</w:t>
      </w:r>
    </w:p>
    <w:p w14:paraId="20F0C9A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pPr>
      <w:r>
        <w:rPr>
          <w:rFonts w:hint="eastAsia" w:ascii="仿宋_GB2312" w:hAnsi="宋体" w:eastAsia="仿宋_GB2312" w:cs="仿宋_GB2312"/>
          <w:color w:val="000000"/>
          <w:kern w:val="0"/>
          <w:sz w:val="31"/>
          <w:szCs w:val="31"/>
          <w:lang w:val="en-US" w:eastAsia="zh-CN" w:bidi="ar"/>
        </w:rPr>
        <w:t>办学类型定位：教学应用型大学。</w:t>
      </w:r>
    </w:p>
    <w:p w14:paraId="694FD26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pPr>
      <w:r>
        <w:rPr>
          <w:rFonts w:hint="eastAsia" w:ascii="仿宋_GB2312" w:hAnsi="宋体" w:eastAsia="仿宋_GB2312" w:cs="仿宋_GB2312"/>
          <w:color w:val="000000"/>
          <w:kern w:val="0"/>
          <w:sz w:val="31"/>
          <w:szCs w:val="31"/>
          <w:lang w:val="en-US" w:eastAsia="zh-CN" w:bidi="ar"/>
        </w:rPr>
        <w:t>办学层次定位：以本科教育为主，兼顾专科教育，适时开展研究生教育，同时开展继续教育、职业技能培训和国际教育。</w:t>
      </w:r>
    </w:p>
    <w:p w14:paraId="2BB4F2A1">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pPr>
      <w:r>
        <w:rPr>
          <w:rFonts w:hint="eastAsia" w:ascii="仿宋_GB2312" w:hAnsi="宋体" w:eastAsia="仿宋_GB2312" w:cs="仿宋_GB2312"/>
          <w:color w:val="000000"/>
          <w:kern w:val="0"/>
          <w:sz w:val="31"/>
          <w:szCs w:val="31"/>
          <w:lang w:val="en-US" w:eastAsia="zh-CN" w:bidi="ar"/>
        </w:rPr>
        <w:t>学科专业定位：以工科为主，文学、教育学、管理学、艺术学、理学、法学及经济学等多学科协同、交叉融合。</w:t>
      </w:r>
    </w:p>
    <w:p w14:paraId="2BD78B0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pPr>
      <w:r>
        <w:rPr>
          <w:rFonts w:hint="eastAsia" w:ascii="仿宋_GB2312" w:hAnsi="宋体" w:eastAsia="仿宋_GB2312" w:cs="仿宋_GB2312"/>
          <w:color w:val="000000"/>
          <w:kern w:val="0"/>
          <w:sz w:val="31"/>
          <w:szCs w:val="31"/>
          <w:lang w:val="en-US" w:eastAsia="zh-CN" w:bidi="ar"/>
        </w:rPr>
        <w:t>办学目标定位：成为区域知名、特色鲜明的高水平应用型民办本科高校。</w:t>
      </w:r>
    </w:p>
    <w:p w14:paraId="2B742C0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服务面向定位：立足大南昌都市圈、服务江西、辐射全国，服务区域经济社会发展。</w:t>
      </w:r>
    </w:p>
    <w:p w14:paraId="739A719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pPr>
      <w:r>
        <w:rPr>
          <w:rFonts w:hint="eastAsia" w:ascii="仿宋_GB2312" w:hAnsi="宋体" w:eastAsia="仿宋_GB2312" w:cs="仿宋_GB2312"/>
          <w:color w:val="000000"/>
          <w:kern w:val="0"/>
          <w:sz w:val="31"/>
          <w:szCs w:val="31"/>
          <w:lang w:val="en-US" w:eastAsia="zh-CN" w:bidi="ar"/>
        </w:rPr>
        <w:t>人才培养目标定位：面向时代、面向行业、面向基层，培养德智体美劳全面发展的高素质应用型人才。</w:t>
      </w:r>
    </w:p>
    <w:p w14:paraId="118A460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发展路径定位：应用立校、数字赋能、开放办学。</w:t>
      </w:r>
    </w:p>
    <w:p w14:paraId="0D5A1E6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办学特色定位：地方性、应用型、数字化、国际化。</w:t>
      </w:r>
    </w:p>
    <w:p w14:paraId="1424E5C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校训：德技兼备 知行合一。</w:t>
      </w:r>
    </w:p>
    <w:p w14:paraId="305F54C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20" w:firstLineChars="200"/>
        <w:textAlignment w:val="auto"/>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校风：厚德、励志、精技、笃行。</w:t>
      </w:r>
    </w:p>
    <w:p w14:paraId="173E30B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二）</w:t>
      </w:r>
      <w:r>
        <w:rPr>
          <w:rFonts w:hint="eastAsia" w:ascii="仿宋_GB2312" w:hAnsi="仿宋_GB2312" w:eastAsia="仿宋_GB2312" w:cs="仿宋_GB2312"/>
          <w:b/>
          <w:spacing w:val="-8"/>
          <w:sz w:val="32"/>
          <w:szCs w:val="32"/>
        </w:rPr>
        <w:t>本科专业设置</w:t>
      </w:r>
    </w:p>
    <w:p w14:paraId="23DFBA8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0" w:name="_Toc10812"/>
      <w:bookmarkStart w:id="1" w:name="_Toc20024"/>
      <w:r>
        <w:rPr>
          <w:rFonts w:hint="default" w:ascii="仿宋_GB2312" w:hAnsi="仿宋_GB2312" w:eastAsia="仿宋_GB2312" w:cs="仿宋_GB2312"/>
          <w:spacing w:val="-8"/>
          <w:sz w:val="32"/>
          <w:szCs w:val="32"/>
          <w:lang w:val="en-US" w:eastAsia="zh-CN"/>
        </w:rPr>
        <w:t>学校已初步构建以工为主，管理学、教育学、文学、艺术学、法学、经济学、理学等多学科协同发展的专业格局。</w:t>
      </w:r>
      <w:bookmarkEnd w:id="0"/>
      <w:bookmarkEnd w:id="1"/>
      <w:bookmarkStart w:id="2" w:name="_Toc29307"/>
      <w:bookmarkStart w:id="3" w:name="_Toc8196"/>
      <w:r>
        <w:rPr>
          <w:rFonts w:hint="eastAsia" w:ascii="仿宋_GB2312" w:hAnsi="仿宋_GB2312" w:eastAsia="仿宋_GB2312" w:cs="仿宋_GB2312"/>
          <w:spacing w:val="-8"/>
          <w:sz w:val="32"/>
          <w:szCs w:val="32"/>
          <w:lang w:val="en-US" w:eastAsia="zh-CN"/>
        </w:rPr>
        <w:t>有省一流专业建设点1个，计算机科学与技术、电子信息工程等校级一流专业9个。</w:t>
      </w:r>
    </w:p>
    <w:p w14:paraId="1B73EDC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en-US"/>
        </w:rPr>
      </w:pPr>
      <w:r>
        <w:rPr>
          <w:rFonts w:hint="default" w:ascii="仿宋_GB2312" w:hAnsi="仿宋_GB2312" w:eastAsia="仿宋_GB2312" w:cs="仿宋_GB2312"/>
          <w:spacing w:val="-8"/>
          <w:sz w:val="32"/>
          <w:szCs w:val="32"/>
          <w:lang w:val="en-US" w:eastAsia="zh-CN"/>
        </w:rPr>
        <w:t>截至目前，学校设有本科专业3</w:t>
      </w:r>
      <w:r>
        <w:rPr>
          <w:rFonts w:hint="eastAsia" w:ascii="仿宋_GB2312" w:hAnsi="仿宋_GB2312" w:eastAsia="仿宋_GB2312" w:cs="仿宋_GB2312"/>
          <w:spacing w:val="-8"/>
          <w:sz w:val="32"/>
          <w:szCs w:val="32"/>
          <w:lang w:val="en-US" w:eastAsia="zh-CN"/>
        </w:rPr>
        <w:t>3</w:t>
      </w:r>
      <w:r>
        <w:rPr>
          <w:rFonts w:hint="default" w:ascii="仿宋_GB2312" w:hAnsi="仿宋_GB2312" w:eastAsia="仿宋_GB2312" w:cs="仿宋_GB2312"/>
          <w:spacing w:val="-8"/>
          <w:sz w:val="32"/>
          <w:szCs w:val="32"/>
          <w:lang w:val="en-US" w:eastAsia="zh-CN"/>
        </w:rPr>
        <w:t>个，</w:t>
      </w:r>
      <w:r>
        <w:rPr>
          <w:rFonts w:hint="eastAsia" w:ascii="仿宋_GB2312" w:hAnsi="仿宋_GB2312" w:eastAsia="仿宋_GB2312" w:cs="仿宋_GB2312"/>
          <w:spacing w:val="-8"/>
          <w:sz w:val="32"/>
          <w:szCs w:val="32"/>
          <w:lang w:val="en-US" w:eastAsia="zh-CN"/>
        </w:rPr>
        <w:t>涵</w:t>
      </w:r>
      <w:r>
        <w:rPr>
          <w:rFonts w:hint="default" w:ascii="仿宋_GB2312" w:hAnsi="仿宋_GB2312" w:eastAsia="仿宋_GB2312" w:cs="仿宋_GB2312"/>
          <w:spacing w:val="-8"/>
          <w:sz w:val="32"/>
          <w:szCs w:val="32"/>
          <w:lang w:val="en-US" w:eastAsia="zh-CN"/>
        </w:rPr>
        <w:t>盖</w:t>
      </w:r>
      <w:r>
        <w:rPr>
          <w:rFonts w:hint="eastAsia" w:ascii="仿宋_GB2312" w:hAnsi="仿宋_GB2312" w:eastAsia="仿宋_GB2312" w:cs="仿宋_GB2312"/>
          <w:spacing w:val="-8"/>
          <w:sz w:val="32"/>
          <w:szCs w:val="32"/>
          <w:lang w:val="en-US" w:eastAsia="zh-CN"/>
        </w:rPr>
        <w:t>工学、管理学、文学、理学、教育学、艺术学、法学、经济学等</w:t>
      </w:r>
      <w:r>
        <w:rPr>
          <w:rFonts w:hint="default" w:ascii="仿宋_GB2312" w:hAnsi="仿宋_GB2312" w:eastAsia="仿宋_GB2312" w:cs="仿宋_GB2312"/>
          <w:spacing w:val="-8"/>
          <w:sz w:val="32"/>
          <w:szCs w:val="32"/>
          <w:lang w:val="en-US" w:eastAsia="zh-CN"/>
        </w:rPr>
        <w:t>八大学科门类。</w:t>
      </w:r>
      <w:r>
        <w:rPr>
          <w:rFonts w:hint="eastAsia" w:ascii="仿宋_GB2312" w:hAnsi="仿宋_GB2312" w:eastAsia="仿宋_GB2312" w:cs="仿宋_GB2312"/>
          <w:spacing w:val="-8"/>
          <w:sz w:val="32"/>
          <w:szCs w:val="32"/>
          <w:lang w:val="en-US" w:eastAsia="zh-CN"/>
        </w:rPr>
        <w:t>其中</w:t>
      </w:r>
      <w:r>
        <w:rPr>
          <w:rFonts w:hint="default" w:ascii="仿宋_GB2312" w:hAnsi="仿宋_GB2312" w:eastAsia="仿宋_GB2312" w:cs="仿宋_GB2312"/>
          <w:spacing w:val="-8"/>
          <w:sz w:val="32"/>
          <w:szCs w:val="32"/>
          <w:lang w:val="en-US" w:eastAsia="zh-CN"/>
        </w:rPr>
        <w:t>工学</w:t>
      </w:r>
      <w:r>
        <w:rPr>
          <w:rFonts w:hint="eastAsia" w:ascii="仿宋_GB2312" w:hAnsi="仿宋_GB2312" w:eastAsia="仿宋_GB2312" w:cs="仿宋_GB2312"/>
          <w:spacing w:val="-8"/>
          <w:sz w:val="32"/>
          <w:szCs w:val="32"/>
          <w:lang w:val="en-US" w:eastAsia="zh-CN"/>
        </w:rPr>
        <w:t>类专业</w:t>
      </w:r>
      <w:r>
        <w:rPr>
          <w:rFonts w:hint="default" w:ascii="仿宋_GB2312" w:hAnsi="仿宋_GB2312" w:eastAsia="仿宋_GB2312" w:cs="仿宋_GB2312"/>
          <w:spacing w:val="-8"/>
          <w:sz w:val="32"/>
          <w:szCs w:val="32"/>
          <w:lang w:val="en-US" w:eastAsia="zh-CN"/>
        </w:rPr>
        <w:t>1</w:t>
      </w:r>
      <w:r>
        <w:rPr>
          <w:rFonts w:hint="eastAsia" w:ascii="仿宋_GB2312" w:hAnsi="仿宋_GB2312" w:eastAsia="仿宋_GB2312" w:cs="仿宋_GB2312"/>
          <w:spacing w:val="-8"/>
          <w:sz w:val="32"/>
          <w:szCs w:val="32"/>
          <w:lang w:val="en-US" w:eastAsia="zh-CN"/>
        </w:rPr>
        <w:t>3</w:t>
      </w:r>
      <w:r>
        <w:rPr>
          <w:rFonts w:hint="default" w:ascii="仿宋_GB2312" w:hAnsi="仿宋_GB2312" w:eastAsia="仿宋_GB2312" w:cs="仿宋_GB2312"/>
          <w:spacing w:val="-8"/>
          <w:sz w:val="32"/>
          <w:szCs w:val="32"/>
          <w:lang w:val="en-US" w:eastAsia="zh-CN"/>
        </w:rPr>
        <w:t>个</w:t>
      </w:r>
      <w:r>
        <w:rPr>
          <w:rFonts w:hint="eastAsia" w:ascii="仿宋_GB2312" w:hAnsi="仿宋_GB2312" w:eastAsia="仿宋_GB2312" w:cs="仿宋_GB2312"/>
          <w:spacing w:val="-8"/>
          <w:sz w:val="32"/>
          <w:szCs w:val="32"/>
          <w:lang w:val="en-US" w:eastAsia="zh-CN"/>
        </w:rPr>
        <w:t>，占比</w:t>
      </w:r>
      <w:r>
        <w:rPr>
          <w:rFonts w:hint="eastAsia" w:ascii="仿宋_GB2312" w:hAnsi="仿宋_GB2312" w:eastAsia="仿宋_GB2312" w:cs="仿宋_GB2312"/>
          <w:spacing w:val="-8"/>
          <w:sz w:val="32"/>
          <w:szCs w:val="32"/>
          <w:lang w:val="en-US" w:eastAsia="en-US"/>
        </w:rPr>
        <w:t>3</w:t>
      </w:r>
      <w:r>
        <w:rPr>
          <w:rFonts w:hint="eastAsia" w:ascii="仿宋_GB2312" w:hAnsi="仿宋_GB2312" w:eastAsia="仿宋_GB2312" w:cs="仿宋_GB2312"/>
          <w:spacing w:val="-8"/>
          <w:sz w:val="32"/>
          <w:szCs w:val="32"/>
          <w:lang w:val="en-US" w:eastAsia="zh-CN"/>
        </w:rPr>
        <w:t>9.4</w:t>
      </w:r>
      <w:r>
        <w:rPr>
          <w:rFonts w:hint="eastAsia" w:ascii="仿宋_GB2312" w:hAnsi="仿宋_GB2312" w:eastAsia="仿宋_GB2312" w:cs="仿宋_GB2312"/>
          <w:spacing w:val="-8"/>
          <w:sz w:val="32"/>
          <w:szCs w:val="32"/>
          <w:lang w:val="en-US" w:eastAsia="en-US"/>
        </w:rPr>
        <w:t>%</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管理学</w:t>
      </w:r>
      <w:r>
        <w:rPr>
          <w:rFonts w:hint="eastAsia" w:ascii="仿宋_GB2312" w:hAnsi="仿宋_GB2312" w:eastAsia="仿宋_GB2312" w:cs="仿宋_GB2312"/>
          <w:spacing w:val="-8"/>
          <w:sz w:val="32"/>
          <w:szCs w:val="32"/>
          <w:lang w:val="en-US" w:eastAsia="zh-CN"/>
        </w:rPr>
        <w:t>类专业5</w:t>
      </w:r>
      <w:r>
        <w:rPr>
          <w:rFonts w:hint="default" w:ascii="仿宋_GB2312" w:hAnsi="仿宋_GB2312" w:eastAsia="仿宋_GB2312" w:cs="仿宋_GB2312"/>
          <w:spacing w:val="-8"/>
          <w:sz w:val="32"/>
          <w:szCs w:val="32"/>
          <w:lang w:val="en-US" w:eastAsia="zh-CN"/>
        </w:rPr>
        <w:t>个</w:t>
      </w:r>
      <w:r>
        <w:rPr>
          <w:rFonts w:hint="eastAsia" w:ascii="仿宋_GB2312" w:hAnsi="仿宋_GB2312" w:eastAsia="仿宋_GB2312" w:cs="仿宋_GB2312"/>
          <w:spacing w:val="-8"/>
          <w:sz w:val="32"/>
          <w:szCs w:val="32"/>
          <w:lang w:val="en-US" w:eastAsia="zh-CN"/>
        </w:rPr>
        <w:t>，占比15.2</w:t>
      </w:r>
      <w:r>
        <w:rPr>
          <w:rFonts w:hint="eastAsia" w:ascii="仿宋_GB2312" w:hAnsi="仿宋_GB2312" w:eastAsia="仿宋_GB2312" w:cs="仿宋_GB2312"/>
          <w:spacing w:val="-8"/>
          <w:sz w:val="32"/>
          <w:szCs w:val="32"/>
          <w:lang w:val="en-US" w:eastAsia="en-US"/>
        </w:rPr>
        <w:t>%</w:t>
      </w:r>
      <w:r>
        <w:rPr>
          <w:rFonts w:hint="eastAsia" w:ascii="仿宋_GB2312" w:hAnsi="仿宋_GB2312" w:eastAsia="仿宋_GB2312" w:cs="仿宋_GB2312"/>
          <w:spacing w:val="-8"/>
          <w:sz w:val="32"/>
          <w:szCs w:val="32"/>
          <w:lang w:val="en-US" w:eastAsia="zh-CN"/>
        </w:rPr>
        <w:t>%；</w:t>
      </w:r>
      <w:r>
        <w:rPr>
          <w:rFonts w:hint="eastAsia" w:ascii="仿宋_GB2312" w:hAnsi="仿宋_GB2312" w:eastAsia="仿宋_GB2312" w:cs="仿宋_GB2312"/>
          <w:spacing w:val="-8"/>
          <w:sz w:val="32"/>
          <w:szCs w:val="32"/>
          <w:lang w:val="en-US" w:eastAsia="en-US"/>
        </w:rPr>
        <w:t>文学</w:t>
      </w:r>
      <w:r>
        <w:rPr>
          <w:rFonts w:hint="eastAsia" w:ascii="仿宋_GB2312" w:hAnsi="仿宋_GB2312" w:eastAsia="仿宋_GB2312" w:cs="仿宋_GB2312"/>
          <w:spacing w:val="-8"/>
          <w:sz w:val="32"/>
          <w:szCs w:val="32"/>
          <w:lang w:val="en-US" w:eastAsia="zh-CN"/>
        </w:rPr>
        <w:t>类专业</w:t>
      </w:r>
      <w:r>
        <w:rPr>
          <w:rFonts w:hint="eastAsia" w:ascii="仿宋_GB2312" w:hAnsi="仿宋_GB2312" w:eastAsia="仿宋_GB2312" w:cs="仿宋_GB2312"/>
          <w:spacing w:val="-8"/>
          <w:sz w:val="32"/>
          <w:szCs w:val="32"/>
          <w:lang w:val="en-US" w:eastAsia="en-US"/>
        </w:rPr>
        <w:t>4个</w:t>
      </w:r>
      <w:r>
        <w:rPr>
          <w:rFonts w:hint="eastAsia" w:ascii="仿宋_GB2312" w:hAnsi="仿宋_GB2312" w:eastAsia="仿宋_GB2312" w:cs="仿宋_GB2312"/>
          <w:spacing w:val="-8"/>
          <w:sz w:val="32"/>
          <w:szCs w:val="32"/>
          <w:lang w:val="en-US" w:eastAsia="zh-CN"/>
        </w:rPr>
        <w:t>，占比</w:t>
      </w:r>
      <w:r>
        <w:rPr>
          <w:rFonts w:hint="eastAsia" w:ascii="仿宋_GB2312" w:hAnsi="仿宋_GB2312" w:eastAsia="仿宋_GB2312" w:cs="仿宋_GB2312"/>
          <w:spacing w:val="-8"/>
          <w:sz w:val="32"/>
          <w:szCs w:val="32"/>
          <w:lang w:val="en-US" w:eastAsia="en-US"/>
        </w:rPr>
        <w:t>1</w:t>
      </w:r>
      <w:r>
        <w:rPr>
          <w:rFonts w:hint="eastAsia" w:ascii="仿宋_GB2312" w:hAnsi="仿宋_GB2312" w:eastAsia="仿宋_GB2312" w:cs="仿宋_GB2312"/>
          <w:spacing w:val="-8"/>
          <w:sz w:val="32"/>
          <w:szCs w:val="32"/>
          <w:lang w:val="en-US" w:eastAsia="zh-CN"/>
        </w:rPr>
        <w:t>2.1</w:t>
      </w:r>
      <w:r>
        <w:rPr>
          <w:rFonts w:hint="eastAsia" w:ascii="仿宋_GB2312" w:hAnsi="仿宋_GB2312" w:eastAsia="仿宋_GB2312" w:cs="仿宋_GB2312"/>
          <w:spacing w:val="-8"/>
          <w:sz w:val="32"/>
          <w:szCs w:val="32"/>
          <w:lang w:val="en-US" w:eastAsia="en-US"/>
        </w:rPr>
        <w:t>%</w:t>
      </w:r>
      <w:r>
        <w:rPr>
          <w:rFonts w:hint="eastAsia" w:ascii="仿宋_GB2312" w:hAnsi="仿宋_GB2312" w:eastAsia="仿宋_GB2312" w:cs="仿宋_GB2312"/>
          <w:spacing w:val="-8"/>
          <w:sz w:val="32"/>
          <w:szCs w:val="32"/>
          <w:lang w:val="en-US" w:eastAsia="zh-CN"/>
        </w:rPr>
        <w:t>；</w:t>
      </w:r>
      <w:r>
        <w:rPr>
          <w:rFonts w:hint="eastAsia" w:ascii="仿宋_GB2312" w:hAnsi="仿宋_GB2312" w:eastAsia="仿宋_GB2312" w:cs="仿宋_GB2312"/>
          <w:spacing w:val="-8"/>
          <w:sz w:val="32"/>
          <w:szCs w:val="32"/>
          <w:lang w:val="en-US" w:eastAsia="en-US"/>
        </w:rPr>
        <w:t>理学</w:t>
      </w:r>
      <w:r>
        <w:rPr>
          <w:rFonts w:hint="eastAsia" w:ascii="仿宋_GB2312" w:hAnsi="仿宋_GB2312" w:eastAsia="仿宋_GB2312" w:cs="仿宋_GB2312"/>
          <w:spacing w:val="-8"/>
          <w:sz w:val="32"/>
          <w:szCs w:val="32"/>
          <w:lang w:val="en-US" w:eastAsia="zh-CN"/>
        </w:rPr>
        <w:t>类专业3</w:t>
      </w:r>
      <w:r>
        <w:rPr>
          <w:rFonts w:hint="eastAsia" w:ascii="仿宋_GB2312" w:hAnsi="仿宋_GB2312" w:eastAsia="仿宋_GB2312" w:cs="仿宋_GB2312"/>
          <w:spacing w:val="-8"/>
          <w:sz w:val="32"/>
          <w:szCs w:val="32"/>
          <w:lang w:val="en-US" w:eastAsia="en-US"/>
        </w:rPr>
        <w:t>个</w:t>
      </w:r>
      <w:r>
        <w:rPr>
          <w:rFonts w:hint="eastAsia" w:ascii="仿宋_GB2312" w:hAnsi="仿宋_GB2312" w:eastAsia="仿宋_GB2312" w:cs="仿宋_GB2312"/>
          <w:spacing w:val="-8"/>
          <w:sz w:val="32"/>
          <w:szCs w:val="32"/>
          <w:lang w:val="en-US" w:eastAsia="zh-CN"/>
        </w:rPr>
        <w:t>，占比9.1</w:t>
      </w:r>
      <w:r>
        <w:rPr>
          <w:rFonts w:hint="eastAsia" w:ascii="仿宋_GB2312" w:hAnsi="仿宋_GB2312" w:eastAsia="仿宋_GB2312" w:cs="仿宋_GB2312"/>
          <w:spacing w:val="-8"/>
          <w:sz w:val="32"/>
          <w:szCs w:val="32"/>
          <w:lang w:val="en-US" w:eastAsia="en-US"/>
        </w:rPr>
        <w:t>%</w:t>
      </w:r>
      <w:r>
        <w:rPr>
          <w:rFonts w:hint="eastAsia" w:ascii="仿宋_GB2312" w:hAnsi="仿宋_GB2312" w:eastAsia="仿宋_GB2312" w:cs="仿宋_GB2312"/>
          <w:spacing w:val="-8"/>
          <w:sz w:val="32"/>
          <w:szCs w:val="32"/>
          <w:lang w:val="en-US" w:eastAsia="zh-CN"/>
        </w:rPr>
        <w:t>；</w:t>
      </w:r>
      <w:r>
        <w:rPr>
          <w:rFonts w:hint="eastAsia" w:ascii="仿宋_GB2312" w:hAnsi="仿宋_GB2312" w:eastAsia="仿宋_GB2312" w:cs="仿宋_GB2312"/>
          <w:spacing w:val="-8"/>
          <w:sz w:val="32"/>
          <w:szCs w:val="32"/>
          <w:lang w:val="en-US" w:eastAsia="en-US"/>
        </w:rPr>
        <w:t>教育学</w:t>
      </w:r>
      <w:r>
        <w:rPr>
          <w:rFonts w:hint="eastAsia" w:ascii="仿宋_GB2312" w:hAnsi="仿宋_GB2312" w:eastAsia="仿宋_GB2312" w:cs="仿宋_GB2312"/>
          <w:spacing w:val="-8"/>
          <w:sz w:val="32"/>
          <w:szCs w:val="32"/>
          <w:lang w:val="en-US" w:eastAsia="zh-CN"/>
        </w:rPr>
        <w:t>类专业</w:t>
      </w:r>
      <w:r>
        <w:rPr>
          <w:rFonts w:hint="eastAsia" w:ascii="仿宋_GB2312" w:hAnsi="仿宋_GB2312" w:eastAsia="仿宋_GB2312" w:cs="仿宋_GB2312"/>
          <w:spacing w:val="-8"/>
          <w:sz w:val="32"/>
          <w:szCs w:val="32"/>
          <w:lang w:val="en-US" w:eastAsia="en-US"/>
        </w:rPr>
        <w:t>3个</w:t>
      </w:r>
      <w:r>
        <w:rPr>
          <w:rFonts w:hint="eastAsia" w:ascii="仿宋_GB2312" w:hAnsi="仿宋_GB2312" w:eastAsia="仿宋_GB2312" w:cs="仿宋_GB2312"/>
          <w:spacing w:val="-8"/>
          <w:sz w:val="32"/>
          <w:szCs w:val="32"/>
          <w:lang w:val="en-US" w:eastAsia="zh-CN"/>
        </w:rPr>
        <w:t>，占比9.1</w:t>
      </w:r>
      <w:r>
        <w:rPr>
          <w:rFonts w:hint="eastAsia" w:ascii="仿宋_GB2312" w:hAnsi="仿宋_GB2312" w:eastAsia="仿宋_GB2312" w:cs="仿宋_GB2312"/>
          <w:spacing w:val="-8"/>
          <w:sz w:val="32"/>
          <w:szCs w:val="32"/>
          <w:lang w:val="en-US" w:eastAsia="en-US"/>
        </w:rPr>
        <w:t>%</w:t>
      </w:r>
      <w:r>
        <w:rPr>
          <w:rFonts w:hint="eastAsia" w:ascii="仿宋_GB2312" w:hAnsi="仿宋_GB2312" w:eastAsia="仿宋_GB2312" w:cs="仿宋_GB2312"/>
          <w:spacing w:val="-8"/>
          <w:sz w:val="32"/>
          <w:szCs w:val="32"/>
          <w:lang w:val="en-US" w:eastAsia="zh-CN"/>
        </w:rPr>
        <w:t>；</w:t>
      </w:r>
      <w:r>
        <w:rPr>
          <w:rFonts w:hint="eastAsia" w:ascii="仿宋_GB2312" w:hAnsi="仿宋_GB2312" w:eastAsia="仿宋_GB2312" w:cs="仿宋_GB2312"/>
          <w:spacing w:val="-8"/>
          <w:sz w:val="32"/>
          <w:szCs w:val="32"/>
          <w:lang w:val="en-US" w:eastAsia="en-US"/>
        </w:rPr>
        <w:t>艺术学</w:t>
      </w:r>
      <w:r>
        <w:rPr>
          <w:rFonts w:hint="eastAsia" w:ascii="仿宋_GB2312" w:hAnsi="仿宋_GB2312" w:eastAsia="仿宋_GB2312" w:cs="仿宋_GB2312"/>
          <w:spacing w:val="-8"/>
          <w:sz w:val="32"/>
          <w:szCs w:val="32"/>
          <w:lang w:val="en-US" w:eastAsia="zh-CN"/>
        </w:rPr>
        <w:t>类专业</w:t>
      </w:r>
      <w:r>
        <w:rPr>
          <w:rFonts w:hint="eastAsia" w:ascii="仿宋_GB2312" w:hAnsi="仿宋_GB2312" w:eastAsia="仿宋_GB2312" w:cs="仿宋_GB2312"/>
          <w:spacing w:val="-8"/>
          <w:sz w:val="32"/>
          <w:szCs w:val="32"/>
          <w:lang w:val="en-US" w:eastAsia="en-US"/>
        </w:rPr>
        <w:t>2个</w:t>
      </w:r>
      <w:r>
        <w:rPr>
          <w:rFonts w:hint="eastAsia" w:ascii="仿宋_GB2312" w:hAnsi="仿宋_GB2312" w:eastAsia="仿宋_GB2312" w:cs="仿宋_GB2312"/>
          <w:spacing w:val="-8"/>
          <w:sz w:val="32"/>
          <w:szCs w:val="32"/>
          <w:lang w:val="en-US" w:eastAsia="zh-CN"/>
        </w:rPr>
        <w:t>，占比</w:t>
      </w:r>
      <w:r>
        <w:rPr>
          <w:rFonts w:hint="eastAsia" w:ascii="仿宋_GB2312" w:hAnsi="仿宋_GB2312" w:eastAsia="仿宋_GB2312" w:cs="仿宋_GB2312"/>
          <w:spacing w:val="-8"/>
          <w:sz w:val="32"/>
          <w:szCs w:val="32"/>
          <w:lang w:val="en-US" w:eastAsia="en-US"/>
        </w:rPr>
        <w:t>6.</w:t>
      </w:r>
      <w:r>
        <w:rPr>
          <w:rFonts w:hint="eastAsia" w:ascii="仿宋_GB2312" w:hAnsi="仿宋_GB2312" w:eastAsia="仿宋_GB2312" w:cs="仿宋_GB2312"/>
          <w:spacing w:val="-8"/>
          <w:sz w:val="32"/>
          <w:szCs w:val="32"/>
          <w:lang w:val="en-US" w:eastAsia="zh-CN"/>
        </w:rPr>
        <w:t>1</w:t>
      </w:r>
      <w:r>
        <w:rPr>
          <w:rFonts w:hint="eastAsia" w:ascii="仿宋_GB2312" w:hAnsi="仿宋_GB2312" w:eastAsia="仿宋_GB2312" w:cs="仿宋_GB2312"/>
          <w:spacing w:val="-8"/>
          <w:sz w:val="32"/>
          <w:szCs w:val="32"/>
          <w:lang w:val="en-US" w:eastAsia="en-US"/>
        </w:rPr>
        <w:t>%</w:t>
      </w:r>
      <w:r>
        <w:rPr>
          <w:rFonts w:hint="eastAsia" w:ascii="仿宋_GB2312" w:hAnsi="仿宋_GB2312" w:eastAsia="仿宋_GB2312" w:cs="仿宋_GB2312"/>
          <w:spacing w:val="-8"/>
          <w:sz w:val="32"/>
          <w:szCs w:val="32"/>
          <w:lang w:val="en-US" w:eastAsia="zh-CN"/>
        </w:rPr>
        <w:t>；</w:t>
      </w:r>
      <w:r>
        <w:rPr>
          <w:rFonts w:hint="eastAsia" w:ascii="仿宋_GB2312" w:hAnsi="仿宋_GB2312" w:eastAsia="仿宋_GB2312" w:cs="仿宋_GB2312"/>
          <w:spacing w:val="-8"/>
          <w:sz w:val="32"/>
          <w:szCs w:val="32"/>
          <w:lang w:val="en-US" w:eastAsia="en-US"/>
        </w:rPr>
        <w:t>法学</w:t>
      </w:r>
      <w:r>
        <w:rPr>
          <w:rFonts w:hint="eastAsia" w:ascii="仿宋_GB2312" w:hAnsi="仿宋_GB2312" w:eastAsia="仿宋_GB2312" w:cs="仿宋_GB2312"/>
          <w:spacing w:val="-8"/>
          <w:sz w:val="32"/>
          <w:szCs w:val="32"/>
          <w:lang w:val="en-US" w:eastAsia="zh-CN"/>
        </w:rPr>
        <w:t>类专业</w:t>
      </w:r>
      <w:r>
        <w:rPr>
          <w:rFonts w:hint="eastAsia" w:ascii="仿宋_GB2312" w:hAnsi="仿宋_GB2312" w:eastAsia="仿宋_GB2312" w:cs="仿宋_GB2312"/>
          <w:spacing w:val="-8"/>
          <w:sz w:val="32"/>
          <w:szCs w:val="32"/>
          <w:lang w:val="en-US" w:eastAsia="en-US"/>
        </w:rPr>
        <w:t>2个</w:t>
      </w:r>
      <w:r>
        <w:rPr>
          <w:rFonts w:hint="eastAsia" w:ascii="仿宋_GB2312" w:hAnsi="仿宋_GB2312" w:eastAsia="仿宋_GB2312" w:cs="仿宋_GB2312"/>
          <w:spacing w:val="-8"/>
          <w:sz w:val="32"/>
          <w:szCs w:val="32"/>
          <w:lang w:val="en-US" w:eastAsia="zh-CN"/>
        </w:rPr>
        <w:t>，占比</w:t>
      </w:r>
      <w:r>
        <w:rPr>
          <w:rFonts w:hint="eastAsia" w:ascii="仿宋_GB2312" w:hAnsi="仿宋_GB2312" w:eastAsia="仿宋_GB2312" w:cs="仿宋_GB2312"/>
          <w:spacing w:val="-8"/>
          <w:sz w:val="32"/>
          <w:szCs w:val="32"/>
          <w:lang w:val="en-US" w:eastAsia="en-US"/>
        </w:rPr>
        <w:t>6.</w:t>
      </w:r>
      <w:r>
        <w:rPr>
          <w:rFonts w:hint="eastAsia" w:ascii="仿宋_GB2312" w:hAnsi="仿宋_GB2312" w:eastAsia="仿宋_GB2312" w:cs="仿宋_GB2312"/>
          <w:spacing w:val="-8"/>
          <w:sz w:val="32"/>
          <w:szCs w:val="32"/>
          <w:lang w:val="en-US" w:eastAsia="zh-CN"/>
        </w:rPr>
        <w:t>1</w:t>
      </w:r>
      <w:r>
        <w:rPr>
          <w:rFonts w:hint="eastAsia" w:ascii="仿宋_GB2312" w:hAnsi="仿宋_GB2312" w:eastAsia="仿宋_GB2312" w:cs="仿宋_GB2312"/>
          <w:spacing w:val="-8"/>
          <w:sz w:val="32"/>
          <w:szCs w:val="32"/>
          <w:lang w:val="en-US" w:eastAsia="en-US"/>
        </w:rPr>
        <w:t>%,经济学</w:t>
      </w:r>
      <w:r>
        <w:rPr>
          <w:rFonts w:hint="eastAsia" w:ascii="仿宋_GB2312" w:hAnsi="仿宋_GB2312" w:eastAsia="仿宋_GB2312" w:cs="仿宋_GB2312"/>
          <w:spacing w:val="-8"/>
          <w:sz w:val="32"/>
          <w:szCs w:val="32"/>
          <w:lang w:val="en-US" w:eastAsia="zh-CN"/>
        </w:rPr>
        <w:t>类</w:t>
      </w:r>
      <w:r>
        <w:rPr>
          <w:rFonts w:hint="eastAsia" w:ascii="仿宋_GB2312" w:hAnsi="仿宋_GB2312" w:eastAsia="仿宋_GB2312" w:cs="仿宋_GB2312"/>
          <w:spacing w:val="-8"/>
          <w:sz w:val="32"/>
          <w:szCs w:val="32"/>
          <w:lang w:val="en-US" w:eastAsia="en-US"/>
        </w:rPr>
        <w:t>1个</w:t>
      </w:r>
      <w:r>
        <w:rPr>
          <w:rFonts w:hint="eastAsia" w:ascii="仿宋_GB2312" w:hAnsi="仿宋_GB2312" w:eastAsia="仿宋_GB2312" w:cs="仿宋_GB2312"/>
          <w:spacing w:val="-8"/>
          <w:sz w:val="32"/>
          <w:szCs w:val="32"/>
          <w:lang w:val="en-US" w:eastAsia="zh-CN"/>
        </w:rPr>
        <w:t>，占比</w:t>
      </w:r>
      <w:r>
        <w:rPr>
          <w:rFonts w:hint="eastAsia" w:ascii="仿宋_GB2312" w:hAnsi="仿宋_GB2312" w:eastAsia="仿宋_GB2312" w:cs="仿宋_GB2312"/>
          <w:spacing w:val="-8"/>
          <w:sz w:val="32"/>
          <w:szCs w:val="32"/>
          <w:lang w:val="en-US" w:eastAsia="en-US"/>
        </w:rPr>
        <w:t>3%。</w:t>
      </w:r>
      <w:bookmarkEnd w:id="2"/>
      <w:bookmarkEnd w:id="3"/>
    </w:p>
    <w:p w14:paraId="0C1B708D">
      <w:pPr>
        <w:keepNext w:val="0"/>
        <w:keepLines w:val="0"/>
        <w:pageBreakBefore w:val="0"/>
        <w:widowControl w:val="0"/>
        <w:kinsoku/>
        <w:wordWrap/>
        <w:overflowPunct/>
        <w:topLinePunct w:val="0"/>
        <w:autoSpaceDE/>
        <w:autoSpaceDN/>
        <w:bidi w:val="0"/>
        <w:adjustRightInd w:val="0"/>
        <w:snapToGrid w:val="0"/>
        <w:spacing w:afterAutospacing="0" w:line="560" w:lineRule="exact"/>
        <w:jc w:val="center"/>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表1 本科专业设置一览表</w:t>
      </w:r>
    </w:p>
    <w:tbl>
      <w:tblPr>
        <w:tblStyle w:val="1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0"/>
        <w:gridCol w:w="1426"/>
        <w:gridCol w:w="1314"/>
        <w:gridCol w:w="1828"/>
        <w:gridCol w:w="1184"/>
        <w:gridCol w:w="1284"/>
        <w:gridCol w:w="1072"/>
      </w:tblGrid>
      <w:tr w14:paraId="27E47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5841B3A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黑体" w:hAnsi="黑体" w:eastAsia="黑体" w:cs="黑体"/>
                <w:b w:val="0"/>
                <w:bCs w:val="0"/>
                <w:i w:val="0"/>
                <w:iCs w:val="0"/>
                <w:color w:val="000000"/>
                <w:kern w:val="0"/>
                <w:sz w:val="24"/>
                <w:szCs w:val="24"/>
                <w:u w:val="none"/>
                <w:lang w:val="en-US" w:eastAsia="en-US" w:bidi="ar"/>
              </w:rPr>
            </w:pPr>
            <w:r>
              <w:rPr>
                <w:rFonts w:hint="eastAsia" w:ascii="黑体" w:hAnsi="黑体" w:eastAsia="黑体" w:cs="黑体"/>
                <w:b w:val="0"/>
                <w:bCs w:val="0"/>
                <w:i w:val="0"/>
                <w:iCs w:val="0"/>
                <w:color w:val="000000"/>
                <w:kern w:val="0"/>
                <w:sz w:val="24"/>
                <w:szCs w:val="24"/>
                <w:u w:val="none"/>
                <w:lang w:val="en-US" w:eastAsia="zh-CN" w:bidi="ar"/>
              </w:rPr>
              <w:t>序号</w:t>
            </w:r>
          </w:p>
        </w:tc>
        <w:tc>
          <w:tcPr>
            <w:tcW w:w="1426" w:type="dxa"/>
            <w:shd w:val="clear" w:color="auto" w:fill="auto"/>
            <w:vAlign w:val="center"/>
          </w:tcPr>
          <w:p w14:paraId="03403D0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黑体" w:hAnsi="黑体" w:eastAsia="黑体" w:cs="黑体"/>
                <w:b w:val="0"/>
                <w:bCs w:val="0"/>
                <w:i w:val="0"/>
                <w:iCs w:val="0"/>
                <w:color w:val="000000"/>
                <w:kern w:val="0"/>
                <w:sz w:val="24"/>
                <w:szCs w:val="24"/>
                <w:u w:val="none"/>
                <w:lang w:val="en-US" w:eastAsia="en-US" w:bidi="ar"/>
              </w:rPr>
            </w:pPr>
            <w:r>
              <w:rPr>
                <w:rFonts w:hint="eastAsia" w:ascii="黑体" w:hAnsi="黑体" w:eastAsia="黑体" w:cs="黑体"/>
                <w:b w:val="0"/>
                <w:bCs w:val="0"/>
                <w:i w:val="0"/>
                <w:iCs w:val="0"/>
                <w:color w:val="000000"/>
                <w:kern w:val="0"/>
                <w:sz w:val="24"/>
                <w:szCs w:val="24"/>
                <w:u w:val="none"/>
                <w:lang w:val="en-US" w:eastAsia="zh-CN" w:bidi="ar"/>
              </w:rPr>
              <w:t>所属学院</w:t>
            </w:r>
          </w:p>
        </w:tc>
        <w:tc>
          <w:tcPr>
            <w:tcW w:w="1314" w:type="dxa"/>
            <w:shd w:val="clear" w:color="auto" w:fill="auto"/>
            <w:vAlign w:val="center"/>
          </w:tcPr>
          <w:p w14:paraId="68938A2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黑体" w:hAnsi="黑体" w:eastAsia="黑体" w:cs="黑体"/>
                <w:b w:val="0"/>
                <w:bCs w:val="0"/>
                <w:i w:val="0"/>
                <w:iCs w:val="0"/>
                <w:color w:val="000000"/>
                <w:kern w:val="2"/>
                <w:sz w:val="24"/>
                <w:szCs w:val="24"/>
                <w:u w:val="none"/>
                <w:lang w:val="en-US" w:eastAsia="en-US" w:bidi="ar-SA"/>
              </w:rPr>
            </w:pPr>
            <w:r>
              <w:rPr>
                <w:rFonts w:hint="eastAsia" w:ascii="黑体" w:hAnsi="黑体" w:eastAsia="黑体" w:cs="黑体"/>
                <w:b w:val="0"/>
                <w:bCs w:val="0"/>
                <w:i w:val="0"/>
                <w:iCs w:val="0"/>
                <w:color w:val="000000"/>
                <w:kern w:val="0"/>
                <w:sz w:val="24"/>
                <w:szCs w:val="24"/>
                <w:u w:val="none"/>
                <w:lang w:val="en-US" w:eastAsia="zh-CN" w:bidi="ar"/>
              </w:rPr>
              <w:t>专业代码</w:t>
            </w:r>
          </w:p>
        </w:tc>
        <w:tc>
          <w:tcPr>
            <w:tcW w:w="1828" w:type="dxa"/>
            <w:shd w:val="clear" w:color="auto" w:fill="auto"/>
            <w:vAlign w:val="center"/>
          </w:tcPr>
          <w:p w14:paraId="286D7DA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黑体" w:hAnsi="黑体" w:eastAsia="黑体" w:cs="黑体"/>
                <w:b w:val="0"/>
                <w:bCs w:val="0"/>
                <w:i w:val="0"/>
                <w:iCs w:val="0"/>
                <w:color w:val="000000"/>
                <w:kern w:val="2"/>
                <w:sz w:val="24"/>
                <w:szCs w:val="24"/>
                <w:u w:val="none"/>
                <w:lang w:val="en-US" w:eastAsia="en-US" w:bidi="ar-SA"/>
              </w:rPr>
            </w:pPr>
            <w:r>
              <w:rPr>
                <w:rFonts w:hint="eastAsia" w:ascii="黑体" w:hAnsi="黑体" w:eastAsia="黑体" w:cs="黑体"/>
                <w:b w:val="0"/>
                <w:bCs w:val="0"/>
                <w:i w:val="0"/>
                <w:iCs w:val="0"/>
                <w:color w:val="000000"/>
                <w:kern w:val="0"/>
                <w:sz w:val="24"/>
                <w:szCs w:val="24"/>
                <w:u w:val="none"/>
                <w:lang w:val="en-US" w:eastAsia="zh-CN" w:bidi="ar"/>
              </w:rPr>
              <w:t>专业名称</w:t>
            </w:r>
          </w:p>
        </w:tc>
        <w:tc>
          <w:tcPr>
            <w:tcW w:w="1184" w:type="dxa"/>
            <w:shd w:val="clear" w:color="auto" w:fill="auto"/>
            <w:vAlign w:val="center"/>
          </w:tcPr>
          <w:p w14:paraId="171DA59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黑体" w:hAnsi="黑体" w:eastAsia="黑体" w:cs="黑体"/>
                <w:b w:val="0"/>
                <w:bCs w:val="0"/>
                <w:i w:val="0"/>
                <w:iCs w:val="0"/>
                <w:color w:val="000000"/>
                <w:kern w:val="2"/>
                <w:sz w:val="24"/>
                <w:szCs w:val="24"/>
                <w:u w:val="none"/>
                <w:lang w:val="en-US" w:eastAsia="en-US" w:bidi="ar-SA"/>
              </w:rPr>
            </w:pPr>
            <w:r>
              <w:rPr>
                <w:rFonts w:hint="eastAsia" w:ascii="黑体" w:hAnsi="黑体" w:eastAsia="黑体" w:cs="黑体"/>
                <w:b w:val="0"/>
                <w:bCs w:val="0"/>
                <w:i w:val="0"/>
                <w:iCs w:val="0"/>
                <w:color w:val="000000"/>
                <w:kern w:val="0"/>
                <w:sz w:val="24"/>
                <w:szCs w:val="24"/>
                <w:u w:val="none"/>
                <w:lang w:val="en-US" w:eastAsia="zh-CN" w:bidi="ar"/>
              </w:rPr>
              <w:t>学科门类</w:t>
            </w:r>
          </w:p>
        </w:tc>
        <w:tc>
          <w:tcPr>
            <w:tcW w:w="1284" w:type="dxa"/>
            <w:shd w:val="clear" w:color="auto" w:fill="auto"/>
            <w:vAlign w:val="center"/>
          </w:tcPr>
          <w:p w14:paraId="7EFA76D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黑体" w:hAnsi="黑体" w:eastAsia="黑体" w:cs="黑体"/>
                <w:b w:val="0"/>
                <w:bCs w:val="0"/>
                <w:i w:val="0"/>
                <w:iCs w:val="0"/>
                <w:color w:val="000000"/>
                <w:kern w:val="2"/>
                <w:sz w:val="24"/>
                <w:szCs w:val="24"/>
                <w:u w:val="none"/>
                <w:lang w:val="en-US" w:eastAsia="en-US" w:bidi="ar-SA"/>
              </w:rPr>
            </w:pPr>
            <w:r>
              <w:rPr>
                <w:rFonts w:hint="eastAsia" w:ascii="黑体" w:hAnsi="黑体" w:eastAsia="黑体" w:cs="黑体"/>
                <w:b w:val="0"/>
                <w:bCs w:val="0"/>
                <w:i w:val="0"/>
                <w:iCs w:val="0"/>
                <w:color w:val="000000"/>
                <w:kern w:val="0"/>
                <w:sz w:val="24"/>
                <w:szCs w:val="24"/>
                <w:u w:val="none"/>
                <w:lang w:val="en-US" w:eastAsia="zh-CN" w:bidi="ar"/>
              </w:rPr>
              <w:t>开设年份</w:t>
            </w:r>
          </w:p>
        </w:tc>
        <w:tc>
          <w:tcPr>
            <w:tcW w:w="1072" w:type="dxa"/>
            <w:shd w:val="clear" w:color="auto" w:fill="auto"/>
            <w:vAlign w:val="center"/>
          </w:tcPr>
          <w:p w14:paraId="418329D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黑体" w:hAnsi="黑体" w:eastAsia="黑体" w:cs="黑体"/>
                <w:b w:val="0"/>
                <w:bCs w:val="0"/>
                <w:i w:val="0"/>
                <w:iCs w:val="0"/>
                <w:color w:val="000000"/>
                <w:kern w:val="0"/>
                <w:sz w:val="24"/>
                <w:szCs w:val="24"/>
                <w:u w:val="none"/>
                <w:lang w:val="en-US" w:eastAsia="en-US" w:bidi="ar"/>
              </w:rPr>
            </w:pPr>
            <w:r>
              <w:rPr>
                <w:rFonts w:hint="eastAsia" w:ascii="黑体" w:hAnsi="黑体" w:eastAsia="黑体" w:cs="黑体"/>
                <w:b w:val="0"/>
                <w:bCs w:val="0"/>
                <w:i w:val="0"/>
                <w:iCs w:val="0"/>
                <w:color w:val="000000"/>
                <w:kern w:val="0"/>
                <w:sz w:val="24"/>
                <w:szCs w:val="24"/>
                <w:u w:val="none"/>
                <w:lang w:val="en-US" w:eastAsia="zh-CN" w:bidi="ar"/>
              </w:rPr>
              <w:t>备注</w:t>
            </w:r>
          </w:p>
        </w:tc>
      </w:tr>
      <w:tr w14:paraId="30BF4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50909C9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w:t>
            </w:r>
          </w:p>
        </w:tc>
        <w:tc>
          <w:tcPr>
            <w:tcW w:w="1426" w:type="dxa"/>
            <w:vMerge w:val="restart"/>
            <w:shd w:val="clear" w:color="auto" w:fill="auto"/>
            <w:vAlign w:val="center"/>
          </w:tcPr>
          <w:p w14:paraId="7875B9D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马克思主义学院</w:t>
            </w:r>
          </w:p>
        </w:tc>
        <w:tc>
          <w:tcPr>
            <w:tcW w:w="1314" w:type="dxa"/>
            <w:shd w:val="clear" w:color="auto" w:fill="auto"/>
            <w:vAlign w:val="center"/>
          </w:tcPr>
          <w:p w14:paraId="60B9AA3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030101K</w:t>
            </w:r>
          </w:p>
        </w:tc>
        <w:tc>
          <w:tcPr>
            <w:tcW w:w="1828" w:type="dxa"/>
            <w:shd w:val="clear" w:color="auto" w:fill="auto"/>
            <w:vAlign w:val="center"/>
          </w:tcPr>
          <w:p w14:paraId="32F8405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法学</w:t>
            </w:r>
          </w:p>
        </w:tc>
        <w:tc>
          <w:tcPr>
            <w:tcW w:w="1184" w:type="dxa"/>
            <w:shd w:val="clear" w:color="auto" w:fill="auto"/>
            <w:vAlign w:val="center"/>
          </w:tcPr>
          <w:p w14:paraId="793F3C6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法学</w:t>
            </w:r>
          </w:p>
        </w:tc>
        <w:tc>
          <w:tcPr>
            <w:tcW w:w="1284" w:type="dxa"/>
            <w:shd w:val="clear" w:color="auto" w:fill="auto"/>
            <w:vAlign w:val="center"/>
          </w:tcPr>
          <w:p w14:paraId="52B16C5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2004</w:t>
            </w:r>
          </w:p>
        </w:tc>
        <w:tc>
          <w:tcPr>
            <w:tcW w:w="1072" w:type="dxa"/>
            <w:shd w:val="clear" w:color="auto" w:fill="auto"/>
            <w:vAlign w:val="center"/>
          </w:tcPr>
          <w:p w14:paraId="5F084E37">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7B06F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4ED69B4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w:t>
            </w:r>
          </w:p>
        </w:tc>
        <w:tc>
          <w:tcPr>
            <w:tcW w:w="1426" w:type="dxa"/>
            <w:vMerge w:val="continue"/>
            <w:shd w:val="clear" w:color="auto" w:fill="auto"/>
            <w:vAlign w:val="center"/>
          </w:tcPr>
          <w:p w14:paraId="0B43E8B6">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3EA1E21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030503</w:t>
            </w:r>
          </w:p>
        </w:tc>
        <w:tc>
          <w:tcPr>
            <w:tcW w:w="1828" w:type="dxa"/>
            <w:shd w:val="clear" w:color="auto" w:fill="auto"/>
            <w:vAlign w:val="center"/>
          </w:tcPr>
          <w:p w14:paraId="752DE6D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思想政治教育</w:t>
            </w:r>
          </w:p>
        </w:tc>
        <w:tc>
          <w:tcPr>
            <w:tcW w:w="1184" w:type="dxa"/>
            <w:shd w:val="clear" w:color="auto" w:fill="auto"/>
            <w:vAlign w:val="center"/>
          </w:tcPr>
          <w:p w14:paraId="3844BD2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法学</w:t>
            </w:r>
          </w:p>
        </w:tc>
        <w:tc>
          <w:tcPr>
            <w:tcW w:w="1284" w:type="dxa"/>
            <w:shd w:val="clear" w:color="auto" w:fill="auto"/>
            <w:vAlign w:val="center"/>
          </w:tcPr>
          <w:p w14:paraId="2A732B9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2021</w:t>
            </w:r>
          </w:p>
        </w:tc>
        <w:tc>
          <w:tcPr>
            <w:tcW w:w="1072" w:type="dxa"/>
            <w:shd w:val="clear" w:color="auto" w:fill="auto"/>
            <w:vAlign w:val="center"/>
          </w:tcPr>
          <w:p w14:paraId="403B4058">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5B42B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107FB61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3</w:t>
            </w:r>
          </w:p>
        </w:tc>
        <w:tc>
          <w:tcPr>
            <w:tcW w:w="1426" w:type="dxa"/>
            <w:vMerge w:val="restart"/>
            <w:shd w:val="clear" w:color="auto" w:fill="auto"/>
            <w:vAlign w:val="center"/>
          </w:tcPr>
          <w:p w14:paraId="1FCAB37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教育学院</w:t>
            </w:r>
          </w:p>
        </w:tc>
        <w:tc>
          <w:tcPr>
            <w:tcW w:w="1314" w:type="dxa"/>
            <w:shd w:val="clear" w:color="auto" w:fill="auto"/>
            <w:vAlign w:val="center"/>
          </w:tcPr>
          <w:p w14:paraId="460D90F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040107</w:t>
            </w:r>
          </w:p>
        </w:tc>
        <w:tc>
          <w:tcPr>
            <w:tcW w:w="1828" w:type="dxa"/>
            <w:shd w:val="clear" w:color="auto" w:fill="auto"/>
            <w:vAlign w:val="center"/>
          </w:tcPr>
          <w:p w14:paraId="02F6C7A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小学教育</w:t>
            </w:r>
          </w:p>
        </w:tc>
        <w:tc>
          <w:tcPr>
            <w:tcW w:w="1184" w:type="dxa"/>
            <w:shd w:val="clear" w:color="auto" w:fill="auto"/>
            <w:vAlign w:val="center"/>
          </w:tcPr>
          <w:p w14:paraId="3D6BAC0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教育学</w:t>
            </w:r>
          </w:p>
        </w:tc>
        <w:tc>
          <w:tcPr>
            <w:tcW w:w="1284" w:type="dxa"/>
            <w:shd w:val="clear" w:color="auto" w:fill="auto"/>
            <w:vAlign w:val="center"/>
          </w:tcPr>
          <w:p w14:paraId="567DDCB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2021</w:t>
            </w:r>
          </w:p>
        </w:tc>
        <w:tc>
          <w:tcPr>
            <w:tcW w:w="1072" w:type="dxa"/>
            <w:shd w:val="clear" w:color="auto" w:fill="auto"/>
            <w:vAlign w:val="center"/>
          </w:tcPr>
          <w:p w14:paraId="4C37BF34">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55AA2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769F144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4</w:t>
            </w:r>
          </w:p>
        </w:tc>
        <w:tc>
          <w:tcPr>
            <w:tcW w:w="1426" w:type="dxa"/>
            <w:vMerge w:val="continue"/>
            <w:shd w:val="clear" w:color="auto" w:fill="auto"/>
            <w:vAlign w:val="center"/>
          </w:tcPr>
          <w:p w14:paraId="3BA2FCA0">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473ED57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050101</w:t>
            </w:r>
          </w:p>
        </w:tc>
        <w:tc>
          <w:tcPr>
            <w:tcW w:w="1828" w:type="dxa"/>
            <w:shd w:val="clear" w:color="auto" w:fill="auto"/>
            <w:vAlign w:val="center"/>
          </w:tcPr>
          <w:p w14:paraId="4E9A82B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汉语言文学</w:t>
            </w:r>
          </w:p>
        </w:tc>
        <w:tc>
          <w:tcPr>
            <w:tcW w:w="1184" w:type="dxa"/>
            <w:shd w:val="clear" w:color="auto" w:fill="auto"/>
            <w:vAlign w:val="center"/>
          </w:tcPr>
          <w:p w14:paraId="0F76B89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文学</w:t>
            </w:r>
          </w:p>
        </w:tc>
        <w:tc>
          <w:tcPr>
            <w:tcW w:w="1284" w:type="dxa"/>
            <w:shd w:val="clear" w:color="auto" w:fill="auto"/>
            <w:vAlign w:val="center"/>
          </w:tcPr>
          <w:p w14:paraId="60AEABC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2005</w:t>
            </w:r>
          </w:p>
        </w:tc>
        <w:tc>
          <w:tcPr>
            <w:tcW w:w="1072" w:type="dxa"/>
            <w:shd w:val="clear" w:color="auto" w:fill="auto"/>
            <w:vAlign w:val="center"/>
          </w:tcPr>
          <w:p w14:paraId="77961A40">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133F2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0ADF75C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5</w:t>
            </w:r>
          </w:p>
        </w:tc>
        <w:tc>
          <w:tcPr>
            <w:tcW w:w="1426" w:type="dxa"/>
            <w:vMerge w:val="continue"/>
            <w:shd w:val="clear" w:color="auto" w:fill="auto"/>
            <w:vAlign w:val="center"/>
          </w:tcPr>
          <w:p w14:paraId="52BACCBC">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6E36440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050201</w:t>
            </w:r>
          </w:p>
        </w:tc>
        <w:tc>
          <w:tcPr>
            <w:tcW w:w="1828" w:type="dxa"/>
            <w:shd w:val="clear" w:color="auto" w:fill="auto"/>
            <w:vAlign w:val="center"/>
          </w:tcPr>
          <w:p w14:paraId="76A7B96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英语</w:t>
            </w:r>
          </w:p>
        </w:tc>
        <w:tc>
          <w:tcPr>
            <w:tcW w:w="1184" w:type="dxa"/>
            <w:shd w:val="clear" w:color="auto" w:fill="auto"/>
            <w:vAlign w:val="center"/>
          </w:tcPr>
          <w:p w14:paraId="18AA123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文学</w:t>
            </w:r>
          </w:p>
        </w:tc>
        <w:tc>
          <w:tcPr>
            <w:tcW w:w="1284" w:type="dxa"/>
            <w:shd w:val="clear" w:color="auto" w:fill="auto"/>
            <w:vAlign w:val="center"/>
          </w:tcPr>
          <w:p w14:paraId="0E3F683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2001</w:t>
            </w:r>
          </w:p>
        </w:tc>
        <w:tc>
          <w:tcPr>
            <w:tcW w:w="1072" w:type="dxa"/>
            <w:shd w:val="clear" w:color="auto" w:fill="auto"/>
            <w:vAlign w:val="center"/>
          </w:tcPr>
          <w:p w14:paraId="4C2B1366">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4C5BD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249E56C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6</w:t>
            </w:r>
          </w:p>
        </w:tc>
        <w:tc>
          <w:tcPr>
            <w:tcW w:w="1426" w:type="dxa"/>
            <w:vMerge w:val="continue"/>
            <w:shd w:val="clear" w:color="auto" w:fill="auto"/>
            <w:vAlign w:val="center"/>
          </w:tcPr>
          <w:p w14:paraId="511F65DD">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2BE6CBF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050207</w:t>
            </w:r>
          </w:p>
        </w:tc>
        <w:tc>
          <w:tcPr>
            <w:tcW w:w="1828" w:type="dxa"/>
            <w:shd w:val="clear" w:color="auto" w:fill="auto"/>
            <w:vAlign w:val="center"/>
          </w:tcPr>
          <w:p w14:paraId="10B853F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日语</w:t>
            </w:r>
          </w:p>
        </w:tc>
        <w:tc>
          <w:tcPr>
            <w:tcW w:w="1184" w:type="dxa"/>
            <w:shd w:val="clear" w:color="auto" w:fill="auto"/>
            <w:vAlign w:val="center"/>
          </w:tcPr>
          <w:p w14:paraId="40088E6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文学</w:t>
            </w:r>
          </w:p>
        </w:tc>
        <w:tc>
          <w:tcPr>
            <w:tcW w:w="1284" w:type="dxa"/>
            <w:shd w:val="clear" w:color="auto" w:fill="auto"/>
            <w:vAlign w:val="center"/>
          </w:tcPr>
          <w:p w14:paraId="15988AE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2010</w:t>
            </w:r>
          </w:p>
        </w:tc>
        <w:tc>
          <w:tcPr>
            <w:tcW w:w="1072" w:type="dxa"/>
            <w:shd w:val="clear" w:color="auto" w:fill="auto"/>
            <w:vAlign w:val="center"/>
          </w:tcPr>
          <w:p w14:paraId="7E5046DD">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5D22A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52034E5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7</w:t>
            </w:r>
          </w:p>
        </w:tc>
        <w:tc>
          <w:tcPr>
            <w:tcW w:w="1426" w:type="dxa"/>
            <w:vMerge w:val="continue"/>
            <w:shd w:val="clear" w:color="auto" w:fill="auto"/>
            <w:vAlign w:val="center"/>
          </w:tcPr>
          <w:p w14:paraId="1DA838F5">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5C14646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050302</w:t>
            </w:r>
          </w:p>
        </w:tc>
        <w:tc>
          <w:tcPr>
            <w:tcW w:w="1828" w:type="dxa"/>
            <w:shd w:val="clear" w:color="auto" w:fill="auto"/>
            <w:vAlign w:val="center"/>
          </w:tcPr>
          <w:p w14:paraId="31EA539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广播电视学</w:t>
            </w:r>
          </w:p>
        </w:tc>
        <w:tc>
          <w:tcPr>
            <w:tcW w:w="1184" w:type="dxa"/>
            <w:shd w:val="clear" w:color="auto" w:fill="auto"/>
            <w:vAlign w:val="center"/>
          </w:tcPr>
          <w:p w14:paraId="0AF249B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文学</w:t>
            </w:r>
          </w:p>
        </w:tc>
        <w:tc>
          <w:tcPr>
            <w:tcW w:w="1284" w:type="dxa"/>
            <w:shd w:val="clear" w:color="auto" w:fill="auto"/>
            <w:vAlign w:val="center"/>
          </w:tcPr>
          <w:p w14:paraId="5A772C2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2007</w:t>
            </w:r>
          </w:p>
        </w:tc>
        <w:tc>
          <w:tcPr>
            <w:tcW w:w="1072" w:type="dxa"/>
            <w:shd w:val="clear" w:color="auto" w:fill="auto"/>
            <w:vAlign w:val="center"/>
          </w:tcPr>
          <w:p w14:paraId="2BAE7035">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54146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55E1906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8</w:t>
            </w:r>
          </w:p>
        </w:tc>
        <w:tc>
          <w:tcPr>
            <w:tcW w:w="1426" w:type="dxa"/>
            <w:vMerge w:val="continue"/>
            <w:shd w:val="clear" w:color="auto" w:fill="auto"/>
            <w:vAlign w:val="center"/>
          </w:tcPr>
          <w:p w14:paraId="3937609C">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4CBA6A8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070101</w:t>
            </w:r>
          </w:p>
        </w:tc>
        <w:tc>
          <w:tcPr>
            <w:tcW w:w="1828" w:type="dxa"/>
            <w:shd w:val="clear" w:color="auto" w:fill="auto"/>
            <w:vAlign w:val="center"/>
          </w:tcPr>
          <w:p w14:paraId="0E455A3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数学与应用数学</w:t>
            </w:r>
          </w:p>
        </w:tc>
        <w:tc>
          <w:tcPr>
            <w:tcW w:w="1184" w:type="dxa"/>
            <w:shd w:val="clear" w:color="auto" w:fill="auto"/>
            <w:vAlign w:val="center"/>
          </w:tcPr>
          <w:p w14:paraId="65DB02E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理学</w:t>
            </w:r>
          </w:p>
        </w:tc>
        <w:tc>
          <w:tcPr>
            <w:tcW w:w="1284" w:type="dxa"/>
            <w:shd w:val="clear" w:color="auto" w:fill="auto"/>
            <w:vAlign w:val="center"/>
          </w:tcPr>
          <w:p w14:paraId="3370070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2010</w:t>
            </w:r>
          </w:p>
        </w:tc>
        <w:tc>
          <w:tcPr>
            <w:tcW w:w="1072" w:type="dxa"/>
            <w:shd w:val="clear" w:color="auto" w:fill="auto"/>
            <w:vAlign w:val="center"/>
          </w:tcPr>
          <w:p w14:paraId="1BA4A290">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2563F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302ADE0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9</w:t>
            </w:r>
          </w:p>
        </w:tc>
        <w:tc>
          <w:tcPr>
            <w:tcW w:w="1426" w:type="dxa"/>
            <w:vMerge w:val="restart"/>
            <w:shd w:val="clear" w:color="auto" w:fill="auto"/>
            <w:vAlign w:val="center"/>
          </w:tcPr>
          <w:p w14:paraId="1F6C8CC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电子信息工程学院</w:t>
            </w:r>
          </w:p>
        </w:tc>
        <w:tc>
          <w:tcPr>
            <w:tcW w:w="1314" w:type="dxa"/>
            <w:shd w:val="clear" w:color="auto" w:fill="auto"/>
            <w:vAlign w:val="center"/>
          </w:tcPr>
          <w:p w14:paraId="7946636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070201</w:t>
            </w:r>
          </w:p>
        </w:tc>
        <w:tc>
          <w:tcPr>
            <w:tcW w:w="1828" w:type="dxa"/>
            <w:shd w:val="clear" w:color="auto" w:fill="auto"/>
            <w:vAlign w:val="center"/>
          </w:tcPr>
          <w:p w14:paraId="30B25B1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物理学</w:t>
            </w:r>
          </w:p>
        </w:tc>
        <w:tc>
          <w:tcPr>
            <w:tcW w:w="1184" w:type="dxa"/>
            <w:shd w:val="clear" w:color="auto" w:fill="auto"/>
            <w:vAlign w:val="center"/>
          </w:tcPr>
          <w:p w14:paraId="25C6E61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理学</w:t>
            </w:r>
          </w:p>
        </w:tc>
        <w:tc>
          <w:tcPr>
            <w:tcW w:w="1284" w:type="dxa"/>
            <w:shd w:val="clear" w:color="auto" w:fill="auto"/>
            <w:vAlign w:val="center"/>
          </w:tcPr>
          <w:p w14:paraId="6F2C56D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2023</w:t>
            </w:r>
          </w:p>
        </w:tc>
        <w:tc>
          <w:tcPr>
            <w:tcW w:w="1072" w:type="dxa"/>
            <w:shd w:val="clear" w:color="auto" w:fill="auto"/>
            <w:vAlign w:val="center"/>
          </w:tcPr>
          <w:p w14:paraId="55628C83">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5C0B4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7A46963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10</w:t>
            </w:r>
          </w:p>
        </w:tc>
        <w:tc>
          <w:tcPr>
            <w:tcW w:w="1426" w:type="dxa"/>
            <w:vMerge w:val="continue"/>
            <w:shd w:val="clear" w:color="auto" w:fill="auto"/>
            <w:vAlign w:val="center"/>
          </w:tcPr>
          <w:p w14:paraId="77D87002">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15DC861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080601</w:t>
            </w:r>
          </w:p>
        </w:tc>
        <w:tc>
          <w:tcPr>
            <w:tcW w:w="1828" w:type="dxa"/>
            <w:shd w:val="clear" w:color="auto" w:fill="auto"/>
            <w:vAlign w:val="center"/>
          </w:tcPr>
          <w:p w14:paraId="6477921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电气工程及其自动化</w:t>
            </w:r>
          </w:p>
        </w:tc>
        <w:tc>
          <w:tcPr>
            <w:tcW w:w="1184" w:type="dxa"/>
            <w:shd w:val="clear" w:color="auto" w:fill="auto"/>
            <w:vAlign w:val="center"/>
          </w:tcPr>
          <w:p w14:paraId="1152969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21C2F55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2023</w:t>
            </w:r>
          </w:p>
        </w:tc>
        <w:tc>
          <w:tcPr>
            <w:tcW w:w="1072" w:type="dxa"/>
            <w:shd w:val="clear" w:color="auto" w:fill="auto"/>
            <w:vAlign w:val="center"/>
          </w:tcPr>
          <w:p w14:paraId="49C6FD13">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660D0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57747A6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11</w:t>
            </w:r>
          </w:p>
        </w:tc>
        <w:tc>
          <w:tcPr>
            <w:tcW w:w="1426" w:type="dxa"/>
            <w:vMerge w:val="continue"/>
            <w:shd w:val="clear" w:color="auto" w:fill="auto"/>
            <w:vAlign w:val="center"/>
          </w:tcPr>
          <w:p w14:paraId="1C86319B">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7998CC9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080701</w:t>
            </w:r>
          </w:p>
        </w:tc>
        <w:tc>
          <w:tcPr>
            <w:tcW w:w="1828" w:type="dxa"/>
            <w:shd w:val="clear" w:color="auto" w:fill="auto"/>
            <w:vAlign w:val="center"/>
          </w:tcPr>
          <w:p w14:paraId="5F4549A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电子信息工程</w:t>
            </w:r>
          </w:p>
        </w:tc>
        <w:tc>
          <w:tcPr>
            <w:tcW w:w="1184" w:type="dxa"/>
            <w:shd w:val="clear" w:color="auto" w:fill="auto"/>
            <w:vAlign w:val="center"/>
          </w:tcPr>
          <w:p w14:paraId="61347CE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370FEBB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2004</w:t>
            </w:r>
          </w:p>
        </w:tc>
        <w:tc>
          <w:tcPr>
            <w:tcW w:w="1072" w:type="dxa"/>
            <w:shd w:val="clear" w:color="auto" w:fill="auto"/>
            <w:vAlign w:val="center"/>
          </w:tcPr>
          <w:p w14:paraId="3261588A">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55F5E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544318C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12</w:t>
            </w:r>
          </w:p>
        </w:tc>
        <w:tc>
          <w:tcPr>
            <w:tcW w:w="1426" w:type="dxa"/>
            <w:vMerge w:val="continue"/>
            <w:shd w:val="clear" w:color="auto" w:fill="auto"/>
            <w:vAlign w:val="center"/>
          </w:tcPr>
          <w:p w14:paraId="1083DFEA">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4CE9F67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080710T</w:t>
            </w:r>
          </w:p>
        </w:tc>
        <w:tc>
          <w:tcPr>
            <w:tcW w:w="1828" w:type="dxa"/>
            <w:shd w:val="clear" w:color="auto" w:fill="auto"/>
            <w:vAlign w:val="center"/>
          </w:tcPr>
          <w:p w14:paraId="7686D4D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集成电路设计与集成系统</w:t>
            </w:r>
          </w:p>
        </w:tc>
        <w:tc>
          <w:tcPr>
            <w:tcW w:w="1184" w:type="dxa"/>
            <w:shd w:val="clear" w:color="auto" w:fill="auto"/>
            <w:vAlign w:val="center"/>
          </w:tcPr>
          <w:p w14:paraId="1070762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3BC4165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2023</w:t>
            </w:r>
          </w:p>
        </w:tc>
        <w:tc>
          <w:tcPr>
            <w:tcW w:w="1072" w:type="dxa"/>
            <w:shd w:val="clear" w:color="auto" w:fill="auto"/>
            <w:vAlign w:val="center"/>
          </w:tcPr>
          <w:p w14:paraId="0120C4E1">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004C4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3E93FEF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13</w:t>
            </w:r>
          </w:p>
        </w:tc>
        <w:tc>
          <w:tcPr>
            <w:tcW w:w="1426" w:type="dxa"/>
            <w:vMerge w:val="continue"/>
            <w:shd w:val="clear" w:color="auto" w:fill="auto"/>
            <w:vAlign w:val="center"/>
          </w:tcPr>
          <w:p w14:paraId="2E93D05C">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38F36CF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080901</w:t>
            </w:r>
          </w:p>
        </w:tc>
        <w:tc>
          <w:tcPr>
            <w:tcW w:w="1828" w:type="dxa"/>
            <w:shd w:val="clear" w:color="auto" w:fill="auto"/>
            <w:vAlign w:val="center"/>
          </w:tcPr>
          <w:p w14:paraId="54DE35C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计算机科学与技术</w:t>
            </w:r>
          </w:p>
        </w:tc>
        <w:tc>
          <w:tcPr>
            <w:tcW w:w="1184" w:type="dxa"/>
            <w:shd w:val="clear" w:color="auto" w:fill="auto"/>
            <w:vAlign w:val="center"/>
          </w:tcPr>
          <w:p w14:paraId="09793BF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3724AB4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2001</w:t>
            </w:r>
          </w:p>
        </w:tc>
        <w:tc>
          <w:tcPr>
            <w:tcW w:w="1072" w:type="dxa"/>
            <w:shd w:val="clear" w:color="auto" w:fill="auto"/>
            <w:vAlign w:val="center"/>
          </w:tcPr>
          <w:p w14:paraId="5A0BB21C">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75A78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264E783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14</w:t>
            </w:r>
          </w:p>
        </w:tc>
        <w:tc>
          <w:tcPr>
            <w:tcW w:w="1426" w:type="dxa"/>
            <w:vMerge w:val="continue"/>
            <w:shd w:val="clear" w:color="auto" w:fill="auto"/>
            <w:vAlign w:val="center"/>
          </w:tcPr>
          <w:p w14:paraId="07A8393C">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7591F86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080902</w:t>
            </w:r>
          </w:p>
        </w:tc>
        <w:tc>
          <w:tcPr>
            <w:tcW w:w="1828" w:type="dxa"/>
            <w:shd w:val="clear" w:color="auto" w:fill="auto"/>
            <w:vAlign w:val="center"/>
          </w:tcPr>
          <w:p w14:paraId="012E238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软件工程</w:t>
            </w:r>
          </w:p>
        </w:tc>
        <w:tc>
          <w:tcPr>
            <w:tcW w:w="1184" w:type="dxa"/>
            <w:shd w:val="clear" w:color="auto" w:fill="auto"/>
            <w:vAlign w:val="center"/>
          </w:tcPr>
          <w:p w14:paraId="77FEF6A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3CBB2A0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2021</w:t>
            </w:r>
          </w:p>
        </w:tc>
        <w:tc>
          <w:tcPr>
            <w:tcW w:w="1072" w:type="dxa"/>
            <w:shd w:val="clear" w:color="auto" w:fill="auto"/>
            <w:vAlign w:val="center"/>
          </w:tcPr>
          <w:p w14:paraId="5166D0D6">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66BB9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11736B1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15</w:t>
            </w:r>
          </w:p>
        </w:tc>
        <w:tc>
          <w:tcPr>
            <w:tcW w:w="1426" w:type="dxa"/>
            <w:vMerge w:val="continue"/>
            <w:shd w:val="clear" w:color="auto" w:fill="auto"/>
            <w:vAlign w:val="center"/>
          </w:tcPr>
          <w:p w14:paraId="64387E4F">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3E61F03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080903</w:t>
            </w:r>
          </w:p>
        </w:tc>
        <w:tc>
          <w:tcPr>
            <w:tcW w:w="1828" w:type="dxa"/>
            <w:shd w:val="clear" w:color="auto" w:fill="auto"/>
            <w:vAlign w:val="center"/>
          </w:tcPr>
          <w:p w14:paraId="6BC6B68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网络工程</w:t>
            </w:r>
          </w:p>
        </w:tc>
        <w:tc>
          <w:tcPr>
            <w:tcW w:w="1184" w:type="dxa"/>
            <w:shd w:val="clear" w:color="auto" w:fill="auto"/>
            <w:vAlign w:val="center"/>
          </w:tcPr>
          <w:p w14:paraId="750EFF1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210D436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2023</w:t>
            </w:r>
          </w:p>
        </w:tc>
        <w:tc>
          <w:tcPr>
            <w:tcW w:w="1072" w:type="dxa"/>
            <w:shd w:val="clear" w:color="auto" w:fill="auto"/>
            <w:vAlign w:val="center"/>
          </w:tcPr>
          <w:p w14:paraId="5797A207">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55337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176CAEF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16</w:t>
            </w:r>
          </w:p>
        </w:tc>
        <w:tc>
          <w:tcPr>
            <w:tcW w:w="1426" w:type="dxa"/>
            <w:vMerge w:val="continue"/>
            <w:shd w:val="clear" w:color="auto" w:fill="auto"/>
            <w:vAlign w:val="center"/>
          </w:tcPr>
          <w:p w14:paraId="580B906A">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07633AB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080905</w:t>
            </w:r>
          </w:p>
        </w:tc>
        <w:tc>
          <w:tcPr>
            <w:tcW w:w="1828" w:type="dxa"/>
            <w:shd w:val="clear" w:color="auto" w:fill="auto"/>
            <w:vAlign w:val="center"/>
          </w:tcPr>
          <w:p w14:paraId="5E23A04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物联网工程</w:t>
            </w:r>
          </w:p>
        </w:tc>
        <w:tc>
          <w:tcPr>
            <w:tcW w:w="1184" w:type="dxa"/>
            <w:shd w:val="clear" w:color="auto" w:fill="auto"/>
            <w:vAlign w:val="center"/>
          </w:tcPr>
          <w:p w14:paraId="3C24531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10CF365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2013</w:t>
            </w:r>
          </w:p>
        </w:tc>
        <w:tc>
          <w:tcPr>
            <w:tcW w:w="1072" w:type="dxa"/>
            <w:shd w:val="clear" w:color="auto" w:fill="auto"/>
            <w:vAlign w:val="center"/>
          </w:tcPr>
          <w:p w14:paraId="49E731F0">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638D7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7309038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17</w:t>
            </w:r>
          </w:p>
        </w:tc>
        <w:tc>
          <w:tcPr>
            <w:tcW w:w="1426" w:type="dxa"/>
            <w:vMerge w:val="continue"/>
            <w:shd w:val="clear" w:color="auto" w:fill="auto"/>
            <w:vAlign w:val="center"/>
          </w:tcPr>
          <w:p w14:paraId="06D6A8A8">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08B6CAD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080906</w:t>
            </w:r>
          </w:p>
        </w:tc>
        <w:tc>
          <w:tcPr>
            <w:tcW w:w="1828" w:type="dxa"/>
            <w:shd w:val="clear" w:color="auto" w:fill="auto"/>
            <w:vAlign w:val="center"/>
          </w:tcPr>
          <w:p w14:paraId="3376A0D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数字媒体技术</w:t>
            </w:r>
          </w:p>
        </w:tc>
        <w:tc>
          <w:tcPr>
            <w:tcW w:w="1184" w:type="dxa"/>
            <w:shd w:val="clear" w:color="auto" w:fill="auto"/>
            <w:vAlign w:val="center"/>
          </w:tcPr>
          <w:p w14:paraId="6DE9E77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59EEFBB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2022</w:t>
            </w:r>
          </w:p>
        </w:tc>
        <w:tc>
          <w:tcPr>
            <w:tcW w:w="1072" w:type="dxa"/>
            <w:shd w:val="clear" w:color="auto" w:fill="auto"/>
            <w:vAlign w:val="center"/>
          </w:tcPr>
          <w:p w14:paraId="33BAB410">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47B54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42574D0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18</w:t>
            </w:r>
          </w:p>
        </w:tc>
        <w:tc>
          <w:tcPr>
            <w:tcW w:w="1426" w:type="dxa"/>
            <w:vMerge w:val="continue"/>
            <w:shd w:val="clear" w:color="auto" w:fill="auto"/>
            <w:vAlign w:val="center"/>
          </w:tcPr>
          <w:p w14:paraId="4FAFEDD1">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434C54B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080916T</w:t>
            </w:r>
          </w:p>
        </w:tc>
        <w:tc>
          <w:tcPr>
            <w:tcW w:w="1828" w:type="dxa"/>
            <w:shd w:val="clear" w:color="auto" w:fill="auto"/>
            <w:vAlign w:val="center"/>
          </w:tcPr>
          <w:p w14:paraId="03E9D28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虚拟现实技术</w:t>
            </w:r>
          </w:p>
        </w:tc>
        <w:tc>
          <w:tcPr>
            <w:tcW w:w="1184" w:type="dxa"/>
            <w:shd w:val="clear" w:color="auto" w:fill="auto"/>
            <w:vAlign w:val="center"/>
          </w:tcPr>
          <w:p w14:paraId="6C35AAB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245382D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2022</w:t>
            </w:r>
          </w:p>
        </w:tc>
        <w:tc>
          <w:tcPr>
            <w:tcW w:w="1072" w:type="dxa"/>
            <w:shd w:val="clear" w:color="auto" w:fill="auto"/>
            <w:vAlign w:val="center"/>
          </w:tcPr>
          <w:p w14:paraId="79E6BABB">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0C5D0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017EB75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19</w:t>
            </w:r>
          </w:p>
        </w:tc>
        <w:tc>
          <w:tcPr>
            <w:tcW w:w="1426" w:type="dxa"/>
            <w:vMerge w:val="continue"/>
            <w:shd w:val="clear" w:color="auto" w:fill="auto"/>
            <w:vAlign w:val="center"/>
          </w:tcPr>
          <w:p w14:paraId="674EA1CC">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434A4EB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081001</w:t>
            </w:r>
          </w:p>
        </w:tc>
        <w:tc>
          <w:tcPr>
            <w:tcW w:w="1828" w:type="dxa"/>
            <w:shd w:val="clear" w:color="auto" w:fill="auto"/>
            <w:vAlign w:val="center"/>
          </w:tcPr>
          <w:p w14:paraId="366A060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土木工程</w:t>
            </w:r>
          </w:p>
        </w:tc>
        <w:tc>
          <w:tcPr>
            <w:tcW w:w="1184" w:type="dxa"/>
            <w:shd w:val="clear" w:color="auto" w:fill="auto"/>
            <w:vAlign w:val="center"/>
          </w:tcPr>
          <w:p w14:paraId="5091B57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2A6D848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2004</w:t>
            </w:r>
          </w:p>
        </w:tc>
        <w:tc>
          <w:tcPr>
            <w:tcW w:w="1072" w:type="dxa"/>
            <w:shd w:val="clear" w:color="auto" w:fill="auto"/>
            <w:vAlign w:val="center"/>
          </w:tcPr>
          <w:p w14:paraId="1F257391">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1C173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0AB8E7F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w:t>
            </w:r>
          </w:p>
        </w:tc>
        <w:tc>
          <w:tcPr>
            <w:tcW w:w="1426" w:type="dxa"/>
            <w:vMerge w:val="continue"/>
            <w:shd w:val="clear" w:color="auto" w:fill="auto"/>
            <w:vAlign w:val="center"/>
          </w:tcPr>
          <w:p w14:paraId="53B634A9">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6DFEC64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080705</w:t>
            </w:r>
          </w:p>
        </w:tc>
        <w:tc>
          <w:tcPr>
            <w:tcW w:w="1828" w:type="dxa"/>
            <w:shd w:val="clear" w:color="auto" w:fill="auto"/>
            <w:vAlign w:val="center"/>
          </w:tcPr>
          <w:p w14:paraId="24D04C8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光电信息科学与工程</w:t>
            </w:r>
          </w:p>
        </w:tc>
        <w:tc>
          <w:tcPr>
            <w:tcW w:w="1184" w:type="dxa"/>
            <w:shd w:val="clear" w:color="auto" w:fill="auto"/>
            <w:vAlign w:val="center"/>
          </w:tcPr>
          <w:p w14:paraId="22F1062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1D7B10C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2024</w:t>
            </w:r>
          </w:p>
        </w:tc>
        <w:tc>
          <w:tcPr>
            <w:tcW w:w="1072" w:type="dxa"/>
            <w:shd w:val="clear" w:color="auto" w:fill="auto"/>
            <w:vAlign w:val="center"/>
          </w:tcPr>
          <w:p w14:paraId="51D4C63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2025年新增</w:t>
            </w:r>
          </w:p>
        </w:tc>
      </w:tr>
      <w:tr w14:paraId="0F7CE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636AB64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21</w:t>
            </w:r>
          </w:p>
        </w:tc>
        <w:tc>
          <w:tcPr>
            <w:tcW w:w="1426" w:type="dxa"/>
            <w:vMerge w:val="continue"/>
            <w:shd w:val="clear" w:color="auto" w:fill="auto"/>
            <w:vAlign w:val="center"/>
          </w:tcPr>
          <w:p w14:paraId="2551C500">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1AF03EB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080720T</w:t>
            </w:r>
          </w:p>
        </w:tc>
        <w:tc>
          <w:tcPr>
            <w:tcW w:w="1828" w:type="dxa"/>
            <w:shd w:val="clear" w:color="auto" w:fill="auto"/>
            <w:vAlign w:val="center"/>
          </w:tcPr>
          <w:p w14:paraId="0A52AF5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智能测控工程</w:t>
            </w:r>
          </w:p>
        </w:tc>
        <w:tc>
          <w:tcPr>
            <w:tcW w:w="1184" w:type="dxa"/>
            <w:shd w:val="clear" w:color="auto" w:fill="auto"/>
            <w:vAlign w:val="center"/>
          </w:tcPr>
          <w:p w14:paraId="05C7895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225F194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2024</w:t>
            </w:r>
          </w:p>
        </w:tc>
        <w:tc>
          <w:tcPr>
            <w:tcW w:w="1072" w:type="dxa"/>
            <w:shd w:val="clear" w:color="auto" w:fill="auto"/>
            <w:vAlign w:val="center"/>
          </w:tcPr>
          <w:p w14:paraId="06B18E7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2025年新增</w:t>
            </w:r>
          </w:p>
        </w:tc>
      </w:tr>
      <w:tr w14:paraId="2190B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31A7A63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22</w:t>
            </w:r>
          </w:p>
        </w:tc>
        <w:tc>
          <w:tcPr>
            <w:tcW w:w="1426" w:type="dxa"/>
            <w:vMerge w:val="continue"/>
            <w:shd w:val="clear" w:color="auto" w:fill="auto"/>
            <w:vAlign w:val="center"/>
          </w:tcPr>
          <w:p w14:paraId="13921703">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1467E66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080907T</w:t>
            </w:r>
          </w:p>
        </w:tc>
        <w:tc>
          <w:tcPr>
            <w:tcW w:w="1828" w:type="dxa"/>
            <w:shd w:val="clear" w:color="auto" w:fill="auto"/>
            <w:vAlign w:val="center"/>
          </w:tcPr>
          <w:p w14:paraId="49214CB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智能科学与技术</w:t>
            </w:r>
          </w:p>
        </w:tc>
        <w:tc>
          <w:tcPr>
            <w:tcW w:w="1184" w:type="dxa"/>
            <w:shd w:val="clear" w:color="auto" w:fill="auto"/>
            <w:vAlign w:val="center"/>
          </w:tcPr>
          <w:p w14:paraId="70D5BFC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工学</w:t>
            </w:r>
          </w:p>
        </w:tc>
        <w:tc>
          <w:tcPr>
            <w:tcW w:w="1284" w:type="dxa"/>
            <w:shd w:val="clear" w:color="auto" w:fill="auto"/>
            <w:vAlign w:val="center"/>
          </w:tcPr>
          <w:p w14:paraId="0B6DCE2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2024</w:t>
            </w:r>
          </w:p>
        </w:tc>
        <w:tc>
          <w:tcPr>
            <w:tcW w:w="1072" w:type="dxa"/>
            <w:shd w:val="clear" w:color="auto" w:fill="auto"/>
            <w:vAlign w:val="center"/>
          </w:tcPr>
          <w:p w14:paraId="35F57B9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2025年新增</w:t>
            </w:r>
          </w:p>
        </w:tc>
      </w:tr>
      <w:tr w14:paraId="1879B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59B26A5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23</w:t>
            </w:r>
          </w:p>
        </w:tc>
        <w:tc>
          <w:tcPr>
            <w:tcW w:w="1426" w:type="dxa"/>
            <w:vMerge w:val="restart"/>
            <w:shd w:val="clear" w:color="auto" w:fill="auto"/>
            <w:vAlign w:val="center"/>
          </w:tcPr>
          <w:p w14:paraId="5C3BEE4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经济与管理学院</w:t>
            </w:r>
          </w:p>
        </w:tc>
        <w:tc>
          <w:tcPr>
            <w:tcW w:w="1314" w:type="dxa"/>
            <w:shd w:val="clear" w:color="auto" w:fill="auto"/>
            <w:vAlign w:val="center"/>
          </w:tcPr>
          <w:p w14:paraId="3AA5F4D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020401</w:t>
            </w:r>
          </w:p>
        </w:tc>
        <w:tc>
          <w:tcPr>
            <w:tcW w:w="1828" w:type="dxa"/>
            <w:shd w:val="clear" w:color="auto" w:fill="auto"/>
            <w:vAlign w:val="center"/>
          </w:tcPr>
          <w:p w14:paraId="08DE946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国际经济与贸易</w:t>
            </w:r>
          </w:p>
        </w:tc>
        <w:tc>
          <w:tcPr>
            <w:tcW w:w="1184" w:type="dxa"/>
            <w:shd w:val="clear" w:color="auto" w:fill="auto"/>
            <w:vAlign w:val="center"/>
          </w:tcPr>
          <w:p w14:paraId="285EE07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经济学</w:t>
            </w:r>
          </w:p>
        </w:tc>
        <w:tc>
          <w:tcPr>
            <w:tcW w:w="1284" w:type="dxa"/>
            <w:shd w:val="clear" w:color="auto" w:fill="auto"/>
            <w:vAlign w:val="center"/>
          </w:tcPr>
          <w:p w14:paraId="446B434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2008</w:t>
            </w:r>
          </w:p>
        </w:tc>
        <w:tc>
          <w:tcPr>
            <w:tcW w:w="1072" w:type="dxa"/>
            <w:shd w:val="clear" w:color="auto" w:fill="auto"/>
            <w:vAlign w:val="center"/>
          </w:tcPr>
          <w:p w14:paraId="6B855E98">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7324E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1A25203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24</w:t>
            </w:r>
          </w:p>
        </w:tc>
        <w:tc>
          <w:tcPr>
            <w:tcW w:w="1426" w:type="dxa"/>
            <w:vMerge w:val="continue"/>
            <w:shd w:val="clear" w:color="auto" w:fill="auto"/>
            <w:vAlign w:val="center"/>
          </w:tcPr>
          <w:p w14:paraId="1E9DBB8C">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2E715F9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120108T</w:t>
            </w:r>
          </w:p>
        </w:tc>
        <w:tc>
          <w:tcPr>
            <w:tcW w:w="1828" w:type="dxa"/>
            <w:shd w:val="clear" w:color="auto" w:fill="auto"/>
            <w:vAlign w:val="center"/>
          </w:tcPr>
          <w:p w14:paraId="5CBF191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大数据管理与应用</w:t>
            </w:r>
          </w:p>
        </w:tc>
        <w:tc>
          <w:tcPr>
            <w:tcW w:w="1184" w:type="dxa"/>
            <w:shd w:val="clear" w:color="auto" w:fill="auto"/>
            <w:vAlign w:val="center"/>
          </w:tcPr>
          <w:p w14:paraId="3BD989A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管理学</w:t>
            </w:r>
          </w:p>
        </w:tc>
        <w:tc>
          <w:tcPr>
            <w:tcW w:w="1284" w:type="dxa"/>
            <w:shd w:val="clear" w:color="auto" w:fill="auto"/>
            <w:vAlign w:val="center"/>
          </w:tcPr>
          <w:p w14:paraId="5640D4A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2022</w:t>
            </w:r>
          </w:p>
        </w:tc>
        <w:tc>
          <w:tcPr>
            <w:tcW w:w="1072" w:type="dxa"/>
            <w:shd w:val="clear" w:color="auto" w:fill="auto"/>
            <w:vAlign w:val="center"/>
          </w:tcPr>
          <w:p w14:paraId="78BB2C09">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018F7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161F184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25</w:t>
            </w:r>
          </w:p>
        </w:tc>
        <w:tc>
          <w:tcPr>
            <w:tcW w:w="1426" w:type="dxa"/>
            <w:vMerge w:val="continue"/>
            <w:shd w:val="clear" w:color="auto" w:fill="auto"/>
            <w:vAlign w:val="center"/>
          </w:tcPr>
          <w:p w14:paraId="69161E85">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47AF749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120204</w:t>
            </w:r>
          </w:p>
        </w:tc>
        <w:tc>
          <w:tcPr>
            <w:tcW w:w="1828" w:type="dxa"/>
            <w:shd w:val="clear" w:color="auto" w:fill="auto"/>
            <w:vAlign w:val="center"/>
          </w:tcPr>
          <w:p w14:paraId="4071571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财务管理</w:t>
            </w:r>
          </w:p>
        </w:tc>
        <w:tc>
          <w:tcPr>
            <w:tcW w:w="1184" w:type="dxa"/>
            <w:shd w:val="clear" w:color="auto" w:fill="auto"/>
            <w:vAlign w:val="center"/>
          </w:tcPr>
          <w:p w14:paraId="3E8587F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管理学</w:t>
            </w:r>
          </w:p>
        </w:tc>
        <w:tc>
          <w:tcPr>
            <w:tcW w:w="1284" w:type="dxa"/>
            <w:shd w:val="clear" w:color="auto" w:fill="auto"/>
            <w:vAlign w:val="center"/>
          </w:tcPr>
          <w:p w14:paraId="19B38BC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2011</w:t>
            </w:r>
          </w:p>
        </w:tc>
        <w:tc>
          <w:tcPr>
            <w:tcW w:w="1072" w:type="dxa"/>
            <w:shd w:val="clear" w:color="auto" w:fill="auto"/>
            <w:vAlign w:val="center"/>
          </w:tcPr>
          <w:p w14:paraId="455B732E">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45219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2028365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26</w:t>
            </w:r>
          </w:p>
        </w:tc>
        <w:tc>
          <w:tcPr>
            <w:tcW w:w="1426" w:type="dxa"/>
            <w:vMerge w:val="continue"/>
            <w:shd w:val="clear" w:color="auto" w:fill="auto"/>
            <w:vAlign w:val="center"/>
          </w:tcPr>
          <w:p w14:paraId="22620C97">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0AB01A6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120213T</w:t>
            </w:r>
          </w:p>
        </w:tc>
        <w:tc>
          <w:tcPr>
            <w:tcW w:w="1828" w:type="dxa"/>
            <w:shd w:val="clear" w:color="auto" w:fill="auto"/>
            <w:vAlign w:val="center"/>
          </w:tcPr>
          <w:p w14:paraId="67DECDC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财务会计教育</w:t>
            </w:r>
          </w:p>
        </w:tc>
        <w:tc>
          <w:tcPr>
            <w:tcW w:w="1184" w:type="dxa"/>
            <w:shd w:val="clear" w:color="auto" w:fill="auto"/>
            <w:vAlign w:val="center"/>
          </w:tcPr>
          <w:p w14:paraId="14D2B03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管理学</w:t>
            </w:r>
          </w:p>
        </w:tc>
        <w:tc>
          <w:tcPr>
            <w:tcW w:w="1284" w:type="dxa"/>
            <w:shd w:val="clear" w:color="auto" w:fill="auto"/>
            <w:vAlign w:val="center"/>
          </w:tcPr>
          <w:p w14:paraId="793B4B4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2021</w:t>
            </w:r>
          </w:p>
        </w:tc>
        <w:tc>
          <w:tcPr>
            <w:tcW w:w="1072" w:type="dxa"/>
            <w:shd w:val="clear" w:color="auto" w:fill="auto"/>
            <w:vAlign w:val="center"/>
          </w:tcPr>
          <w:p w14:paraId="5C6779B8">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424F0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124DD0B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27</w:t>
            </w:r>
          </w:p>
        </w:tc>
        <w:tc>
          <w:tcPr>
            <w:tcW w:w="1426" w:type="dxa"/>
            <w:vMerge w:val="continue"/>
            <w:shd w:val="clear" w:color="auto" w:fill="auto"/>
            <w:vAlign w:val="center"/>
          </w:tcPr>
          <w:p w14:paraId="6747BA16">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4B66CAA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120803T</w:t>
            </w:r>
          </w:p>
        </w:tc>
        <w:tc>
          <w:tcPr>
            <w:tcW w:w="1828" w:type="dxa"/>
            <w:shd w:val="clear" w:color="auto" w:fill="auto"/>
            <w:vAlign w:val="center"/>
          </w:tcPr>
          <w:p w14:paraId="38F52FD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跨境电子商务</w:t>
            </w:r>
          </w:p>
        </w:tc>
        <w:tc>
          <w:tcPr>
            <w:tcW w:w="1184" w:type="dxa"/>
            <w:shd w:val="clear" w:color="auto" w:fill="auto"/>
            <w:vAlign w:val="center"/>
          </w:tcPr>
          <w:p w14:paraId="7DBE380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管理学</w:t>
            </w:r>
          </w:p>
        </w:tc>
        <w:tc>
          <w:tcPr>
            <w:tcW w:w="1284" w:type="dxa"/>
            <w:shd w:val="clear" w:color="auto" w:fill="auto"/>
            <w:vAlign w:val="center"/>
          </w:tcPr>
          <w:p w14:paraId="796C8FB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2021</w:t>
            </w:r>
          </w:p>
        </w:tc>
        <w:tc>
          <w:tcPr>
            <w:tcW w:w="1072" w:type="dxa"/>
            <w:shd w:val="clear" w:color="auto" w:fill="auto"/>
            <w:vAlign w:val="center"/>
          </w:tcPr>
          <w:p w14:paraId="5EC4301A">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13319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07C4FA9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28</w:t>
            </w:r>
          </w:p>
        </w:tc>
        <w:tc>
          <w:tcPr>
            <w:tcW w:w="1426" w:type="dxa"/>
            <w:vMerge w:val="continue"/>
            <w:shd w:val="clear" w:color="auto" w:fill="auto"/>
            <w:vAlign w:val="center"/>
          </w:tcPr>
          <w:p w14:paraId="35D0C1E2">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5F6DDCD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120901K</w:t>
            </w:r>
          </w:p>
        </w:tc>
        <w:tc>
          <w:tcPr>
            <w:tcW w:w="1828" w:type="dxa"/>
            <w:shd w:val="clear" w:color="auto" w:fill="auto"/>
            <w:vAlign w:val="center"/>
          </w:tcPr>
          <w:p w14:paraId="3195E02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旅游管理</w:t>
            </w:r>
          </w:p>
        </w:tc>
        <w:tc>
          <w:tcPr>
            <w:tcW w:w="1184" w:type="dxa"/>
            <w:shd w:val="clear" w:color="auto" w:fill="auto"/>
            <w:vAlign w:val="center"/>
          </w:tcPr>
          <w:p w14:paraId="64C72FE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管理学</w:t>
            </w:r>
          </w:p>
        </w:tc>
        <w:tc>
          <w:tcPr>
            <w:tcW w:w="1284" w:type="dxa"/>
            <w:shd w:val="clear" w:color="auto" w:fill="auto"/>
            <w:vAlign w:val="center"/>
          </w:tcPr>
          <w:p w14:paraId="7A0ED6D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2002</w:t>
            </w:r>
          </w:p>
        </w:tc>
        <w:tc>
          <w:tcPr>
            <w:tcW w:w="1072" w:type="dxa"/>
            <w:shd w:val="clear" w:color="auto" w:fill="auto"/>
            <w:vAlign w:val="center"/>
          </w:tcPr>
          <w:p w14:paraId="7437339D">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5C53C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4149487D">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29</w:t>
            </w:r>
          </w:p>
        </w:tc>
        <w:tc>
          <w:tcPr>
            <w:tcW w:w="1426" w:type="dxa"/>
            <w:vMerge w:val="continue"/>
            <w:shd w:val="clear" w:color="auto" w:fill="auto"/>
            <w:vAlign w:val="center"/>
          </w:tcPr>
          <w:p w14:paraId="0B32D9D1">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606017F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071201</w:t>
            </w:r>
          </w:p>
        </w:tc>
        <w:tc>
          <w:tcPr>
            <w:tcW w:w="1828" w:type="dxa"/>
            <w:shd w:val="clear" w:color="auto" w:fill="auto"/>
            <w:vAlign w:val="center"/>
          </w:tcPr>
          <w:p w14:paraId="5BAD81D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统计学</w:t>
            </w:r>
          </w:p>
        </w:tc>
        <w:tc>
          <w:tcPr>
            <w:tcW w:w="1184" w:type="dxa"/>
            <w:shd w:val="clear" w:color="auto" w:fill="auto"/>
            <w:vAlign w:val="center"/>
          </w:tcPr>
          <w:p w14:paraId="75CE5CE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理学</w:t>
            </w:r>
          </w:p>
        </w:tc>
        <w:tc>
          <w:tcPr>
            <w:tcW w:w="1284" w:type="dxa"/>
            <w:shd w:val="clear" w:color="auto" w:fill="auto"/>
            <w:vAlign w:val="center"/>
          </w:tcPr>
          <w:p w14:paraId="44831A5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zh-CN"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2024</w:t>
            </w:r>
          </w:p>
        </w:tc>
        <w:tc>
          <w:tcPr>
            <w:tcW w:w="1072" w:type="dxa"/>
            <w:shd w:val="clear" w:color="auto" w:fill="auto"/>
            <w:vAlign w:val="center"/>
          </w:tcPr>
          <w:p w14:paraId="607FED9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2025年新增</w:t>
            </w:r>
          </w:p>
        </w:tc>
      </w:tr>
      <w:tr w14:paraId="055EA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4263419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30</w:t>
            </w:r>
          </w:p>
        </w:tc>
        <w:tc>
          <w:tcPr>
            <w:tcW w:w="1426" w:type="dxa"/>
            <w:vMerge w:val="restart"/>
            <w:shd w:val="clear" w:color="auto" w:fill="auto"/>
            <w:vAlign w:val="center"/>
          </w:tcPr>
          <w:p w14:paraId="3AD028B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艺术与体育学院</w:t>
            </w:r>
          </w:p>
        </w:tc>
        <w:tc>
          <w:tcPr>
            <w:tcW w:w="1314" w:type="dxa"/>
            <w:shd w:val="clear" w:color="auto" w:fill="auto"/>
            <w:vAlign w:val="center"/>
          </w:tcPr>
          <w:p w14:paraId="758D69F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040201</w:t>
            </w:r>
          </w:p>
        </w:tc>
        <w:tc>
          <w:tcPr>
            <w:tcW w:w="1828" w:type="dxa"/>
            <w:shd w:val="clear" w:color="auto" w:fill="auto"/>
            <w:vAlign w:val="center"/>
          </w:tcPr>
          <w:p w14:paraId="4B9C500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体育教育</w:t>
            </w:r>
          </w:p>
        </w:tc>
        <w:tc>
          <w:tcPr>
            <w:tcW w:w="1184" w:type="dxa"/>
            <w:shd w:val="clear" w:color="auto" w:fill="auto"/>
            <w:vAlign w:val="center"/>
          </w:tcPr>
          <w:p w14:paraId="42C47C4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教育学</w:t>
            </w:r>
          </w:p>
        </w:tc>
        <w:tc>
          <w:tcPr>
            <w:tcW w:w="1284" w:type="dxa"/>
            <w:shd w:val="clear" w:color="auto" w:fill="auto"/>
            <w:vAlign w:val="center"/>
          </w:tcPr>
          <w:p w14:paraId="036F41B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2004</w:t>
            </w:r>
          </w:p>
        </w:tc>
        <w:tc>
          <w:tcPr>
            <w:tcW w:w="1072" w:type="dxa"/>
            <w:shd w:val="clear" w:color="auto" w:fill="auto"/>
            <w:vAlign w:val="center"/>
          </w:tcPr>
          <w:p w14:paraId="54D260E7">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25EA6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4F1BD60C">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31</w:t>
            </w:r>
          </w:p>
        </w:tc>
        <w:tc>
          <w:tcPr>
            <w:tcW w:w="1426" w:type="dxa"/>
            <w:vMerge w:val="continue"/>
            <w:shd w:val="clear" w:color="auto" w:fill="auto"/>
            <w:vAlign w:val="center"/>
          </w:tcPr>
          <w:p w14:paraId="1CFCEAE6">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505C4A2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040203</w:t>
            </w:r>
          </w:p>
        </w:tc>
        <w:tc>
          <w:tcPr>
            <w:tcW w:w="1828" w:type="dxa"/>
            <w:shd w:val="clear" w:color="auto" w:fill="auto"/>
            <w:vAlign w:val="center"/>
          </w:tcPr>
          <w:p w14:paraId="629F485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社会体育指导与管理</w:t>
            </w:r>
          </w:p>
        </w:tc>
        <w:tc>
          <w:tcPr>
            <w:tcW w:w="1184" w:type="dxa"/>
            <w:shd w:val="clear" w:color="auto" w:fill="auto"/>
            <w:vAlign w:val="center"/>
          </w:tcPr>
          <w:p w14:paraId="4A9889C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教育学</w:t>
            </w:r>
          </w:p>
        </w:tc>
        <w:tc>
          <w:tcPr>
            <w:tcW w:w="1284" w:type="dxa"/>
            <w:shd w:val="clear" w:color="auto" w:fill="auto"/>
            <w:vAlign w:val="center"/>
          </w:tcPr>
          <w:p w14:paraId="4B15ED0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2004</w:t>
            </w:r>
          </w:p>
        </w:tc>
        <w:tc>
          <w:tcPr>
            <w:tcW w:w="1072" w:type="dxa"/>
            <w:shd w:val="clear" w:color="auto" w:fill="auto"/>
            <w:vAlign w:val="center"/>
          </w:tcPr>
          <w:p w14:paraId="7DFD1618">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2324B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170F9F0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32</w:t>
            </w:r>
          </w:p>
        </w:tc>
        <w:tc>
          <w:tcPr>
            <w:tcW w:w="1426" w:type="dxa"/>
            <w:vMerge w:val="continue"/>
            <w:shd w:val="clear" w:color="auto" w:fill="auto"/>
            <w:vAlign w:val="center"/>
          </w:tcPr>
          <w:p w14:paraId="116831E0">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236599C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130502</w:t>
            </w:r>
          </w:p>
        </w:tc>
        <w:tc>
          <w:tcPr>
            <w:tcW w:w="1828" w:type="dxa"/>
            <w:shd w:val="clear" w:color="auto" w:fill="auto"/>
            <w:vAlign w:val="center"/>
          </w:tcPr>
          <w:p w14:paraId="65D2086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视觉传达设计</w:t>
            </w:r>
          </w:p>
        </w:tc>
        <w:tc>
          <w:tcPr>
            <w:tcW w:w="1184" w:type="dxa"/>
            <w:shd w:val="clear" w:color="auto" w:fill="auto"/>
            <w:vAlign w:val="center"/>
          </w:tcPr>
          <w:p w14:paraId="47D7907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艺术学</w:t>
            </w:r>
          </w:p>
        </w:tc>
        <w:tc>
          <w:tcPr>
            <w:tcW w:w="1284" w:type="dxa"/>
            <w:shd w:val="clear" w:color="auto" w:fill="auto"/>
            <w:vAlign w:val="center"/>
          </w:tcPr>
          <w:p w14:paraId="20B542D5">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2001</w:t>
            </w:r>
          </w:p>
        </w:tc>
        <w:tc>
          <w:tcPr>
            <w:tcW w:w="1072" w:type="dxa"/>
            <w:shd w:val="clear" w:color="auto" w:fill="auto"/>
            <w:vAlign w:val="center"/>
          </w:tcPr>
          <w:p w14:paraId="6916F15B">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r>
      <w:tr w14:paraId="254FF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840" w:type="dxa"/>
            <w:shd w:val="clear" w:color="auto" w:fill="auto"/>
            <w:vAlign w:val="center"/>
          </w:tcPr>
          <w:p w14:paraId="2E44DC0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0"/>
                <w:sz w:val="24"/>
                <w:szCs w:val="24"/>
                <w:u w:val="none"/>
                <w:lang w:val="en-US" w:eastAsia="en-US" w:bidi="ar"/>
              </w:rPr>
            </w:pPr>
            <w:r>
              <w:rPr>
                <w:rFonts w:hint="eastAsia" w:ascii="仿宋_GB2312" w:hAnsi="仿宋_GB2312" w:eastAsia="仿宋_GB2312" w:cs="仿宋_GB2312"/>
                <w:b w:val="0"/>
                <w:bCs w:val="0"/>
                <w:i w:val="0"/>
                <w:iCs w:val="0"/>
                <w:color w:val="000000"/>
                <w:kern w:val="0"/>
                <w:sz w:val="24"/>
                <w:szCs w:val="24"/>
                <w:u w:val="none"/>
                <w:lang w:val="en-US" w:eastAsia="zh-CN" w:bidi="ar"/>
              </w:rPr>
              <w:t>33</w:t>
            </w:r>
          </w:p>
        </w:tc>
        <w:tc>
          <w:tcPr>
            <w:tcW w:w="1426" w:type="dxa"/>
            <w:vMerge w:val="continue"/>
            <w:shd w:val="clear" w:color="auto" w:fill="auto"/>
            <w:vAlign w:val="center"/>
          </w:tcPr>
          <w:p w14:paraId="68EB9F53">
            <w:pPr>
              <w:keepNext w:val="0"/>
              <w:keepLines w:val="0"/>
              <w:pageBreakBefore w:val="0"/>
              <w:widowControl/>
              <w:kinsoku/>
              <w:wordWrap/>
              <w:overflowPunct/>
              <w:topLinePunct w:val="0"/>
              <w:autoSpaceDE/>
              <w:autoSpaceDN/>
              <w:bidi w:val="0"/>
              <w:adjustRightInd/>
              <w:snapToGrid/>
              <w:ind w:firstLine="0" w:firstLineChars="0"/>
              <w:jc w:val="center"/>
              <w:rPr>
                <w:rFonts w:hint="eastAsia" w:ascii="仿宋_GB2312" w:hAnsi="仿宋_GB2312" w:eastAsia="仿宋_GB2312" w:cs="仿宋_GB2312"/>
                <w:b w:val="0"/>
                <w:bCs w:val="0"/>
                <w:i w:val="0"/>
                <w:iCs w:val="0"/>
                <w:color w:val="000000"/>
                <w:kern w:val="0"/>
                <w:sz w:val="24"/>
                <w:szCs w:val="24"/>
                <w:u w:val="none"/>
                <w:lang w:val="en-US" w:eastAsia="en-US" w:bidi="ar"/>
              </w:rPr>
            </w:pPr>
          </w:p>
        </w:tc>
        <w:tc>
          <w:tcPr>
            <w:tcW w:w="1314" w:type="dxa"/>
            <w:shd w:val="clear" w:color="auto" w:fill="auto"/>
            <w:vAlign w:val="center"/>
          </w:tcPr>
          <w:p w14:paraId="4C9A3CF0">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130503</w:t>
            </w:r>
          </w:p>
        </w:tc>
        <w:tc>
          <w:tcPr>
            <w:tcW w:w="1828" w:type="dxa"/>
            <w:shd w:val="clear" w:color="auto" w:fill="auto"/>
            <w:vAlign w:val="center"/>
          </w:tcPr>
          <w:p w14:paraId="772BBC58">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环境设计</w:t>
            </w:r>
          </w:p>
        </w:tc>
        <w:tc>
          <w:tcPr>
            <w:tcW w:w="1184" w:type="dxa"/>
            <w:shd w:val="clear" w:color="auto" w:fill="auto"/>
            <w:vAlign w:val="center"/>
          </w:tcPr>
          <w:p w14:paraId="5B56D063">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艺术学</w:t>
            </w:r>
          </w:p>
        </w:tc>
        <w:tc>
          <w:tcPr>
            <w:tcW w:w="1284" w:type="dxa"/>
            <w:shd w:val="clear" w:color="auto" w:fill="auto"/>
            <w:vAlign w:val="center"/>
          </w:tcPr>
          <w:p w14:paraId="59F6392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仿宋_GB2312" w:hAnsi="仿宋_GB2312" w:eastAsia="仿宋_GB2312" w:cs="仿宋_GB2312"/>
                <w:b w:val="0"/>
                <w:bCs w:val="0"/>
                <w:i w:val="0"/>
                <w:iCs w:val="0"/>
                <w:color w:val="000000"/>
                <w:kern w:val="2"/>
                <w:sz w:val="24"/>
                <w:szCs w:val="24"/>
                <w:u w:val="none"/>
                <w:lang w:val="en-US" w:eastAsia="en-US" w:bidi="ar-SA"/>
              </w:rPr>
            </w:pPr>
            <w:r>
              <w:rPr>
                <w:rFonts w:hint="eastAsia" w:ascii="仿宋_GB2312" w:hAnsi="仿宋_GB2312" w:eastAsia="仿宋_GB2312" w:cs="仿宋_GB2312"/>
                <w:b w:val="0"/>
                <w:bCs w:val="0"/>
                <w:i w:val="0"/>
                <w:iCs w:val="0"/>
                <w:color w:val="000000"/>
                <w:kern w:val="0"/>
                <w:sz w:val="24"/>
                <w:szCs w:val="24"/>
                <w:u w:val="none"/>
                <w:lang w:val="en-US" w:eastAsia="zh-CN" w:bidi="ar"/>
              </w:rPr>
              <w:t>2001</w:t>
            </w:r>
          </w:p>
        </w:tc>
        <w:tc>
          <w:tcPr>
            <w:tcW w:w="1072" w:type="dxa"/>
            <w:shd w:val="clear" w:color="auto" w:fill="auto"/>
            <w:vAlign w:val="center"/>
          </w:tcPr>
          <w:p w14:paraId="625A2C98">
            <w:pPr>
              <w:keepNext w:val="0"/>
              <w:keepLines w:val="0"/>
              <w:pageBreakBefore w:val="0"/>
              <w:widowControl/>
              <w:kinsoku/>
              <w:wordWrap/>
              <w:overflowPunct/>
              <w:topLinePunct w:val="0"/>
              <w:autoSpaceDE/>
              <w:autoSpaceDN/>
              <w:bidi w:val="0"/>
              <w:adjustRightInd/>
              <w:snapToGrid/>
              <w:ind w:firstLine="0" w:firstLineChars="0"/>
              <w:rPr>
                <w:rFonts w:hint="eastAsia" w:ascii="仿宋_GB2312" w:hAnsi="仿宋_GB2312" w:eastAsia="仿宋_GB2312" w:cs="仿宋_GB2312"/>
                <w:b w:val="0"/>
                <w:bCs w:val="0"/>
                <w:i w:val="0"/>
                <w:iCs w:val="0"/>
                <w:color w:val="000000"/>
                <w:kern w:val="0"/>
                <w:sz w:val="24"/>
                <w:szCs w:val="24"/>
                <w:u w:val="none"/>
                <w:lang w:val="en-US" w:eastAsia="en-US" w:bidi="ar"/>
              </w:rPr>
            </w:pPr>
          </w:p>
        </w:tc>
      </w:tr>
    </w:tbl>
    <w:p w14:paraId="56F7B8D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40" w:firstLineChars="200"/>
        <w:textAlignment w:val="auto"/>
        <w:rPr>
          <w:rFonts w:ascii="仿宋_GB2312" w:hAnsi="仿宋_GB2312" w:eastAsia="仿宋_GB2312" w:cs="仿宋_GB2312"/>
          <w:bCs/>
          <w:kern w:val="2"/>
          <w:sz w:val="32"/>
          <w:szCs w:val="32"/>
          <w:lang w:bidi="ar-SA"/>
        </w:rPr>
      </w:pPr>
      <w:r>
        <w:rPr>
          <w:rFonts w:hint="eastAsia" w:ascii="仿宋_GB2312" w:hAnsi="仿宋_GB2312" w:eastAsia="仿宋_GB2312" w:cs="仿宋_GB2312"/>
          <w:bCs/>
          <w:kern w:val="2"/>
          <w:sz w:val="32"/>
          <w:szCs w:val="32"/>
          <w:lang w:val="en-US" w:eastAsia="zh-CN" w:bidi="ar-SA"/>
        </w:rPr>
        <w:t>学校对接江西省</w:t>
      </w:r>
      <w:r>
        <w:rPr>
          <w:rFonts w:ascii="仿宋_GB2312" w:hAnsi="仿宋_GB2312" w:eastAsia="仿宋_GB2312" w:cs="仿宋_GB2312"/>
          <w:bCs/>
          <w:kern w:val="2"/>
          <w:sz w:val="32"/>
          <w:szCs w:val="32"/>
          <w:lang w:bidi="ar-SA"/>
        </w:rPr>
        <w:t>“1269”行动计划，</w:t>
      </w:r>
      <w:r>
        <w:rPr>
          <w:rFonts w:hint="eastAsia" w:ascii="仿宋_GB2312" w:hAnsi="仿宋_GB2312" w:eastAsia="仿宋_GB2312" w:cs="仿宋_GB2312"/>
          <w:bCs/>
          <w:kern w:val="2"/>
          <w:sz w:val="32"/>
          <w:szCs w:val="32"/>
          <w:lang w:val="en-US" w:eastAsia="zh-CN" w:bidi="ar-SA"/>
        </w:rPr>
        <w:t>持续深入推进专业结构优化调整。2025年，学校新增获批智能测控工程、智能科学与技术、</w:t>
      </w:r>
      <w:r>
        <w:rPr>
          <w:rFonts w:ascii="仿宋_GB2312" w:hAnsi="仿宋_GB2312" w:eastAsia="仿宋_GB2312" w:cs="仿宋_GB2312"/>
          <w:bCs/>
          <w:kern w:val="2"/>
          <w:sz w:val="32"/>
          <w:szCs w:val="32"/>
          <w:lang w:bidi="ar-SA"/>
        </w:rPr>
        <w:t>光电信息科学与工程</w:t>
      </w:r>
      <w:r>
        <w:rPr>
          <w:rFonts w:hint="eastAsia" w:ascii="仿宋_GB2312" w:hAnsi="仿宋_GB2312" w:eastAsia="仿宋_GB2312" w:cs="仿宋_GB2312"/>
          <w:bCs/>
          <w:kern w:val="2"/>
          <w:sz w:val="32"/>
          <w:szCs w:val="32"/>
          <w:lang w:eastAsia="zh-CN" w:bidi="ar-SA"/>
        </w:rPr>
        <w:t>、</w:t>
      </w:r>
      <w:r>
        <w:rPr>
          <w:rFonts w:hint="eastAsia" w:ascii="仿宋_GB2312" w:hAnsi="仿宋_GB2312" w:eastAsia="仿宋_GB2312" w:cs="仿宋_GB2312"/>
          <w:bCs/>
          <w:kern w:val="2"/>
          <w:sz w:val="32"/>
          <w:szCs w:val="32"/>
          <w:lang w:val="en-US" w:eastAsia="zh-CN" w:bidi="ar-SA"/>
        </w:rPr>
        <w:t>统计学等4个本科专业，新增本科专业100%为理工类专业，并于2025年起开始招生。学校以工为主的专业结构布局进一步优化，应用型办学定位更加巩固</w:t>
      </w:r>
      <w:r>
        <w:rPr>
          <w:rFonts w:ascii="仿宋_GB2312" w:hAnsi="仿宋_GB2312" w:eastAsia="仿宋_GB2312" w:cs="仿宋_GB2312"/>
          <w:bCs/>
          <w:kern w:val="2"/>
          <w:sz w:val="32"/>
          <w:szCs w:val="32"/>
          <w:lang w:bidi="ar-SA"/>
        </w:rPr>
        <w:t>。</w:t>
      </w:r>
    </w:p>
    <w:p w14:paraId="276B9E9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40" w:firstLineChars="200"/>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学校坚持以市场和就业为导向，结合省“三高三低”专清单，动态调整优化招生专业及招生计划。2025年，我校停招日语、广播电视学、社会体育指导与管理等3个本科专业。汉语言文学、小学教育、环境设计、网络工程、数学与应用数学、土木工程、物联网工程、虚拟现实技术、物理学等9个本科专业招生计划较2024年压缩20%以上。</w:t>
      </w:r>
    </w:p>
    <w:p w14:paraId="4ED4CE7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三）</w:t>
      </w:r>
      <w:r>
        <w:rPr>
          <w:rFonts w:hint="eastAsia" w:ascii="仿宋_GB2312" w:hAnsi="仿宋_GB2312" w:eastAsia="仿宋_GB2312" w:cs="仿宋_GB2312"/>
          <w:b/>
          <w:spacing w:val="-8"/>
          <w:sz w:val="32"/>
          <w:szCs w:val="32"/>
        </w:rPr>
        <w:t>全日制在校生</w:t>
      </w:r>
    </w:p>
    <w:p w14:paraId="3445689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4" w:name="_Toc28018"/>
      <w:bookmarkStart w:id="5" w:name="_Toc17636"/>
      <w:r>
        <w:rPr>
          <w:rFonts w:hint="eastAsia" w:ascii="仿宋_GB2312" w:hAnsi="仿宋_GB2312" w:eastAsia="仿宋_GB2312" w:cs="仿宋_GB2312"/>
          <w:spacing w:val="-8"/>
          <w:sz w:val="32"/>
          <w:szCs w:val="32"/>
          <w:lang w:val="en-US" w:eastAsia="zh-CN"/>
        </w:rPr>
        <w:t>学校全日制在校学生共计12993人，其中普通本科生</w:t>
      </w:r>
      <w:r>
        <w:rPr>
          <w:rFonts w:hint="eastAsia" w:ascii="仿宋_GB2312" w:hAnsi="仿宋_GB2312" w:eastAsia="仿宋_GB2312" w:cs="仿宋_GB2312"/>
          <w:spacing w:val="-8"/>
          <w:sz w:val="32"/>
          <w:szCs w:val="32"/>
        </w:rPr>
        <w:t>10921</w:t>
      </w:r>
      <w:r>
        <w:rPr>
          <w:rFonts w:hint="eastAsia" w:ascii="仿宋_GB2312" w:hAnsi="仿宋_GB2312" w:eastAsia="仿宋_GB2312" w:cs="仿宋_GB2312"/>
          <w:spacing w:val="-8"/>
          <w:sz w:val="32"/>
          <w:szCs w:val="32"/>
          <w:lang w:val="en-US" w:eastAsia="zh-CN"/>
        </w:rPr>
        <w:t>人，占比84.05%；专科生</w:t>
      </w:r>
      <w:r>
        <w:rPr>
          <w:rFonts w:hint="eastAsia" w:ascii="仿宋_GB2312" w:hAnsi="仿宋_GB2312" w:eastAsia="仿宋_GB2312" w:cs="仿宋_GB2312"/>
          <w:spacing w:val="-8"/>
          <w:sz w:val="32"/>
          <w:szCs w:val="32"/>
        </w:rPr>
        <w:t>2072</w:t>
      </w:r>
      <w:r>
        <w:rPr>
          <w:rFonts w:hint="eastAsia" w:ascii="仿宋_GB2312" w:hAnsi="仿宋_GB2312" w:eastAsia="仿宋_GB2312" w:cs="仿宋_GB2312"/>
          <w:spacing w:val="-8"/>
          <w:sz w:val="32"/>
          <w:szCs w:val="32"/>
          <w:lang w:val="en-US" w:eastAsia="zh-CN"/>
        </w:rPr>
        <w:t>人</w:t>
      </w:r>
      <w:bookmarkEnd w:id="4"/>
      <w:bookmarkEnd w:id="5"/>
      <w:r>
        <w:rPr>
          <w:rFonts w:hint="eastAsia" w:ascii="仿宋_GB2312" w:hAnsi="仿宋_GB2312" w:eastAsia="仿宋_GB2312" w:cs="仿宋_GB2312"/>
          <w:spacing w:val="-8"/>
          <w:sz w:val="32"/>
          <w:szCs w:val="32"/>
          <w:lang w:val="en-US" w:eastAsia="zh-CN"/>
        </w:rPr>
        <w:t>，占比15.95%。</w:t>
      </w:r>
    </w:p>
    <w:p w14:paraId="21A22ED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本科生中，工科类专业在校生3607人，占比33.02%；文学类专业2419人，占比22.15%；教育学类专业1349人，占比12.35%；法学类专业909人，占比8.32%；艺术学类专业903人，占比8.27%；管理学类专业849人，占比7.77%；理学类专业在校生773人，占比7.08%；经济学类专业112人，占比1.03%。</w:t>
      </w:r>
    </w:p>
    <w:p w14:paraId="32B4262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四）</w:t>
      </w:r>
      <w:r>
        <w:rPr>
          <w:rFonts w:hint="eastAsia" w:ascii="仿宋_GB2312" w:hAnsi="仿宋_GB2312" w:eastAsia="仿宋_GB2312" w:cs="仿宋_GB2312"/>
          <w:b/>
          <w:spacing w:val="-8"/>
          <w:sz w:val="32"/>
          <w:szCs w:val="32"/>
        </w:rPr>
        <w:t>本科生源质量</w:t>
      </w:r>
    </w:p>
    <w:p w14:paraId="2405CFA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2024年本科录取3168人（其中，专升本1080人，普通本科2088人），2025年本科录取3073人（其中，专升本980人，普通本科2093人）。近2年，我校第一志愿录取率均为100%；新生报到率，本科报到率均在97%以上。</w:t>
      </w:r>
      <w:r>
        <w:rPr>
          <w:rFonts w:hint="default" w:ascii="仿宋_GB2312" w:hAnsi="仿宋_GB2312" w:eastAsia="仿宋_GB2312" w:cs="仿宋_GB2312"/>
          <w:spacing w:val="-8"/>
          <w:sz w:val="32"/>
          <w:szCs w:val="32"/>
          <w:lang w:val="en-US" w:eastAsia="zh-CN"/>
        </w:rPr>
        <w:t>近年来，我校招生规模持续扩大，生源质量稳步提高</w:t>
      </w:r>
      <w:r>
        <w:rPr>
          <w:rFonts w:hint="eastAsia" w:ascii="仿宋_GB2312" w:hAnsi="仿宋_GB2312" w:eastAsia="仿宋_GB2312" w:cs="仿宋_GB2312"/>
          <w:spacing w:val="-8"/>
          <w:sz w:val="32"/>
          <w:szCs w:val="32"/>
          <w:lang w:val="en-US" w:eastAsia="zh-CN"/>
        </w:rPr>
        <w:t>，本省招生录取分数线连年居于省内同类院校前列。</w:t>
      </w:r>
    </w:p>
    <w:p w14:paraId="6004BA9A">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五）</w:t>
      </w:r>
      <w:r>
        <w:rPr>
          <w:rFonts w:hint="eastAsia" w:ascii="仿宋_GB2312" w:hAnsi="仿宋_GB2312" w:eastAsia="仿宋_GB2312" w:cs="仿宋_GB2312"/>
          <w:b/>
          <w:spacing w:val="-8"/>
          <w:sz w:val="32"/>
          <w:szCs w:val="32"/>
        </w:rPr>
        <w:t>对外交流情况</w:t>
      </w:r>
    </w:p>
    <w:p w14:paraId="3C11893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学校坚持对外开放助力增强学校办学能力水平，积极拓展对外交流合作，促进文明交流互鉴。本年度，学校积极探索申报中外合作办学机构与项目申报工作，主动申报留学生培养资质院校，为留学生教育和学生获得境外高质量教育资源搭建平台，为推进合作先后接待沙特王子、沙特苏尔坦亲王大学、澳大利亚墨尔本理工学院和美国浸会大学商学院等外方来访。积极开展对外交流项目，发布师生交流放学项目5项，1人经选拔及国家留学基金委审批，赴匈牙利欧布达大学环境工程专业交流学习，2名学生获得赴美实习交流机会，利用假期赴美实习。开展天工优阶免费英语培训项目，参训学生英语交流能力大幅提升，7名学生获得国（境）外研究生录取通知书。</w:t>
      </w:r>
    </w:p>
    <w:p w14:paraId="681C72F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楷体" w:hAnsi="楷体" w:eastAsia="楷体" w:cs="楷体"/>
          <w:b/>
          <w:spacing w:val="-8"/>
          <w:sz w:val="32"/>
          <w:szCs w:val="32"/>
        </w:rPr>
        <w:t>二、师资队伍与教学条件</w:t>
      </w:r>
    </w:p>
    <w:p w14:paraId="2885C7E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一）</w:t>
      </w:r>
      <w:r>
        <w:rPr>
          <w:rFonts w:hint="eastAsia" w:ascii="仿宋_GB2312" w:hAnsi="仿宋_GB2312" w:eastAsia="仿宋_GB2312" w:cs="仿宋_GB2312"/>
          <w:b/>
          <w:spacing w:val="-8"/>
          <w:sz w:val="32"/>
          <w:szCs w:val="32"/>
        </w:rPr>
        <w:t>师资队伍数量与结构</w:t>
      </w:r>
    </w:p>
    <w:p w14:paraId="2ADD239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1.师资队伍与结构</w:t>
      </w:r>
    </w:p>
    <w:p w14:paraId="2BD6F7F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高水平的教师队伍是提升人才培养质量的有力保障。学校秉持“内培与外引相结合，引进与稳定相协调，培养与使用相并行”的原则，着力强化师资队伍建设，优化师资结构，以达成师资总量、结构与学校发展战略规划相适配的总体目标。目前，师资队伍在职称、学历、学缘、年龄结构等方面正逐步优化，教学科研团队建设也取得了一定成效。</w:t>
      </w:r>
    </w:p>
    <w:p w14:paraId="39A6E14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自2021年转设以来，学校持续推行高层次人才引进计划，鼓励教职工提升学历，并加大高层次人才的引进力度，使得教职工中具有硕士及以上学位的比例显著提高。</w:t>
      </w:r>
    </w:p>
    <w:p w14:paraId="59BEFFCA">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截至2025年10月30日，学校共有专任教师852人，其中外聘教师420人，折合教师总数为724人，外聘教师与专任教师人数之比为0.50：1。在专任教师中，具有高级职称的有222人，占比为30.59%；具有硕士以上学位的有515人，占专任教师的比例为71.13%。</w:t>
      </w:r>
    </w:p>
    <w:p w14:paraId="05666B9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在教职工中，35岁及以下的有490人，占比57.51%；36-45岁的有178人，占比20.89%；46-55岁的有48人，占比5.63%；56岁以上的有136人，占比15.96%。</w:t>
      </w:r>
    </w:p>
    <w:p w14:paraId="5BE7574D">
      <w:pPr>
        <w:spacing w:before="60" w:after="180"/>
        <w:jc w:val="center"/>
        <w:rPr>
          <w:rFonts w:hint="eastAsia" w:ascii="仿宋" w:hAnsi="仿宋" w:eastAsia="仿宋"/>
          <w:b/>
          <w:bCs/>
          <w:color w:val="auto"/>
          <w:sz w:val="30"/>
          <w:szCs w:val="30"/>
          <w:lang w:val="en-US" w:eastAsia="zh-CN"/>
        </w:rPr>
      </w:pPr>
      <w:bookmarkStart w:id="6" w:name="_Toc11645"/>
      <w:r>
        <w:rPr>
          <w:rFonts w:hint="eastAsia" w:ascii="仿宋" w:hAnsi="仿宋" w:eastAsia="仿宋"/>
          <w:b/>
          <w:bCs/>
          <w:color w:val="auto"/>
          <w:sz w:val="30"/>
          <w:szCs w:val="30"/>
          <w:lang w:val="en-US" w:eastAsia="zh-CN"/>
        </w:rPr>
        <w:drawing>
          <wp:inline distT="0" distB="0" distL="114300" distR="114300">
            <wp:extent cx="5495290" cy="2351405"/>
            <wp:effectExtent l="4445" t="4445" r="5715" b="6350"/>
            <wp:docPr id="1" name="图表 1" descr="7b0a202020202263686172745265734964223a20223530303533343239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r>
        <w:rPr>
          <w:rFonts w:hint="eastAsia" w:ascii="仿宋" w:hAnsi="仿宋" w:eastAsia="仿宋"/>
          <w:b/>
          <w:bCs/>
          <w:color w:val="auto"/>
          <w:sz w:val="30"/>
          <w:szCs w:val="30"/>
          <w:lang w:val="en-US" w:eastAsia="zh-CN"/>
        </w:rPr>
        <w:t>图1 在校专任教师数量、结构图</w:t>
      </w:r>
    </w:p>
    <w:bookmarkEnd w:id="6"/>
    <w:p w14:paraId="39E34F41">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2.师资队伍建设</w:t>
      </w:r>
    </w:p>
    <w:p w14:paraId="25490C4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聚焦学校内涵式发展，以强化学校教师思想政治素质和师德师风建设为首要任务，以提高教师专业素质能力为关键，以推进教师管理制度改革为突破口，遵循教育规律和教师成长发展规律，为提高人才培养质量、增强科研创新能力、服务国家和地方经济社会发展、加快推进高水平应用型大学建设提供强有力的师资保障。</w:t>
      </w:r>
    </w:p>
    <w:p w14:paraId="5B8C049A">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（1）强化师德师风建设</w:t>
      </w:r>
    </w:p>
    <w:p w14:paraId="54E8309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坚持以习近平新时代中国特色社会主义思想为指导，落实师德第一标准，推进师德培育引领，完善师德失范行为惩处机制，不断健全师德师风建设长效机制。每年开展师德师风考核工作，开展学校中青年教职工思想状况问卷调查，严格落实《思想政治素质和师德师风考察实施办法》《加强师德建设的意见》《师德师风负面清单和失范行为处理办法》等，切实加强新进、在职教师政治引领和师德师风建设。</w:t>
      </w:r>
    </w:p>
    <w:p w14:paraId="7F32A7F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（2）加强高层次人才培养引进</w:t>
      </w:r>
    </w:p>
    <w:p w14:paraId="095A78A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修订了《高层次人才引进及考核办法》，给予高层次人才政策倾斜和制度保障，加大对高层次、应用型人才的引进力度。以应用型人才培养作为高层次人才引进的核心要素，提升“博士+工程师”在“双师双能型”教师队伍中的比例，促进教师队伍专业学术水平和工程实践能力整体提升。</w:t>
      </w:r>
    </w:p>
    <w:p w14:paraId="4F8C6D2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（3）鼓励教师到行业企业挂职锻炼</w:t>
      </w:r>
    </w:p>
    <w:p w14:paraId="545381C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从应用型高校双师型教师队伍建设实际出发，为提高教师实践能力，学校出台了《双师型教师认定管理办法》《教职工培训管理办法》，规范双师型教师认定条件，鼓励工科类教师“走出去”实践锻炼，将“具有经学校批准的‘以提高实践能力为主的实践锻炼’经历”作为双师型教师认定的条件之一，并在职称评审中对双师型教师予以适当加分。</w:t>
      </w:r>
    </w:p>
    <w:p w14:paraId="1EA4D49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（4）提升教师教育教学能力</w:t>
      </w:r>
    </w:p>
    <w:p w14:paraId="366839D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分层次分阶段做好教师岗前、在岗、转岗培训，鼓励教师在职攻读博士学位、国（境）内外访学进修和挂职锻炼；组织教师参加各级各类教学比赛，开展好教育教学改革研讨会等活动，引领教师创新教育教学理念、改进教学方式方法，全面提升教书育人的意识和能力；持续加强基层教学组织建设，创新基层教学组织载体和运行方式，推动基层教学组织规范化、专业化、特色化建设。加强教学研究、集体备课、教改项目研讨，强化教师参与教学活动、教学研究与改革等工作的过程管理；加强教学质量监控体系建设，完善教学质量保障与评价办法，加强教学质量内部保障机制和外部评价机制建设，激励教师提升教育教学能力，潜心教书育人。</w:t>
      </w:r>
    </w:p>
    <w:p w14:paraId="5F08098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二）</w:t>
      </w:r>
      <w:r>
        <w:rPr>
          <w:rFonts w:hint="eastAsia" w:ascii="仿宋_GB2312" w:hAnsi="仿宋_GB2312" w:eastAsia="仿宋_GB2312" w:cs="仿宋_GB2312"/>
          <w:b/>
          <w:spacing w:val="-8"/>
          <w:sz w:val="32"/>
          <w:szCs w:val="32"/>
        </w:rPr>
        <w:t>教学经费投入</w:t>
      </w:r>
    </w:p>
    <w:p w14:paraId="6D6ADFA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w:t>
      </w:r>
      <w:r>
        <w:rPr>
          <w:rFonts w:hint="default" w:ascii="仿宋_GB2312" w:hAnsi="仿宋_GB2312" w:eastAsia="仿宋_GB2312" w:cs="仿宋_GB2312"/>
          <w:spacing w:val="-8"/>
          <w:sz w:val="32"/>
          <w:szCs w:val="32"/>
          <w:lang w:val="en-US" w:eastAsia="zh-CN"/>
        </w:rPr>
        <w:t>校坚持以教学为核心，</w:t>
      </w:r>
      <w:r>
        <w:rPr>
          <w:rFonts w:hint="eastAsia" w:ascii="仿宋_GB2312" w:hAnsi="仿宋_GB2312" w:eastAsia="仿宋_GB2312" w:cs="仿宋_GB2312"/>
          <w:spacing w:val="-8"/>
          <w:sz w:val="32"/>
          <w:szCs w:val="32"/>
          <w:lang w:val="en-US" w:eastAsia="zh-CN"/>
        </w:rPr>
        <w:t>截至12月教学经费支出总额4160.25万，其中</w:t>
      </w:r>
      <w:r>
        <w:rPr>
          <w:rFonts w:hint="default" w:ascii="仿宋_GB2312" w:hAnsi="仿宋_GB2312" w:eastAsia="仿宋_GB2312" w:cs="仿宋_GB2312"/>
          <w:spacing w:val="-8"/>
          <w:sz w:val="32"/>
          <w:szCs w:val="32"/>
          <w:lang w:val="en-US" w:eastAsia="zh-CN"/>
        </w:rPr>
        <w:t>教学日常运行支出</w:t>
      </w:r>
      <w:r>
        <w:rPr>
          <w:rFonts w:hint="eastAsia" w:ascii="仿宋_GB2312" w:hAnsi="仿宋_GB2312" w:eastAsia="仿宋_GB2312" w:cs="仿宋_GB2312"/>
          <w:spacing w:val="-8"/>
          <w:sz w:val="32"/>
          <w:szCs w:val="32"/>
          <w:lang w:val="en-US" w:eastAsia="zh-CN"/>
        </w:rPr>
        <w:t>2829.64万，</w:t>
      </w:r>
      <w:r>
        <w:rPr>
          <w:rFonts w:hint="default" w:ascii="仿宋_GB2312" w:hAnsi="仿宋_GB2312" w:eastAsia="仿宋_GB2312" w:cs="仿宋_GB2312"/>
          <w:spacing w:val="-8"/>
          <w:sz w:val="32"/>
          <w:szCs w:val="32"/>
          <w:lang w:val="en-US" w:eastAsia="zh-CN"/>
        </w:rPr>
        <w:t>占学费总收入的</w:t>
      </w:r>
      <w:r>
        <w:rPr>
          <w:rFonts w:hint="eastAsia" w:ascii="仿宋_GB2312" w:hAnsi="仿宋_GB2312" w:eastAsia="仿宋_GB2312" w:cs="仿宋_GB2312"/>
          <w:spacing w:val="-8"/>
          <w:sz w:val="32"/>
          <w:szCs w:val="32"/>
          <w:lang w:val="en-US" w:eastAsia="zh-CN"/>
        </w:rPr>
        <w:t>13.03</w:t>
      </w:r>
      <w:r>
        <w:rPr>
          <w:rFonts w:hint="default" w:ascii="仿宋_GB2312" w:hAnsi="仿宋_GB2312" w:eastAsia="仿宋_GB2312" w:cs="仿宋_GB2312"/>
          <w:spacing w:val="-8"/>
          <w:sz w:val="32"/>
          <w:szCs w:val="32"/>
          <w:lang w:val="en-US" w:eastAsia="zh-CN"/>
        </w:rPr>
        <w:t>%，生均支出</w:t>
      </w:r>
      <w:r>
        <w:rPr>
          <w:rFonts w:hint="eastAsia" w:ascii="仿宋_GB2312" w:hAnsi="仿宋_GB2312" w:eastAsia="仿宋_GB2312" w:cs="仿宋_GB2312"/>
          <w:spacing w:val="-8"/>
          <w:sz w:val="32"/>
          <w:szCs w:val="32"/>
          <w:lang w:val="en-US" w:eastAsia="zh-CN"/>
        </w:rPr>
        <w:t>2177.82</w:t>
      </w:r>
      <w:r>
        <w:rPr>
          <w:rFonts w:hint="default" w:ascii="仿宋_GB2312" w:hAnsi="仿宋_GB2312" w:eastAsia="仿宋_GB2312" w:cs="仿宋_GB2312"/>
          <w:spacing w:val="-8"/>
          <w:sz w:val="32"/>
          <w:szCs w:val="32"/>
          <w:lang w:val="en-US" w:eastAsia="zh-CN"/>
        </w:rPr>
        <w:t>元</w:t>
      </w:r>
      <w:r>
        <w:rPr>
          <w:rFonts w:hint="eastAsia" w:ascii="仿宋_GB2312" w:hAnsi="仿宋_GB2312" w:eastAsia="仿宋_GB2312" w:cs="仿宋_GB2312"/>
          <w:spacing w:val="-8"/>
          <w:sz w:val="32"/>
          <w:szCs w:val="32"/>
          <w:lang w:val="en-US" w:eastAsia="zh-CN"/>
        </w:rPr>
        <w:t>；教学改革支出93.63万，实践教学支出621.08万（其中实验经费支出356.31万，实习经费支出241.06万），其他教学专项46.83万，学生活动经费支出112.68万，教师培训进修专项经费支出373.73万。</w:t>
      </w:r>
      <w:r>
        <w:rPr>
          <w:rFonts w:hint="default" w:ascii="仿宋_GB2312" w:hAnsi="仿宋_GB2312" w:eastAsia="仿宋_GB2312" w:cs="仿宋_GB2312"/>
          <w:spacing w:val="-8"/>
          <w:sz w:val="32"/>
          <w:szCs w:val="32"/>
          <w:lang w:val="en-US" w:eastAsia="zh-CN"/>
        </w:rPr>
        <w:t>确保教学经费充足，满足人才培养需求。同时，设立教学改革专项基金</w:t>
      </w:r>
      <w:r>
        <w:rPr>
          <w:rFonts w:hint="eastAsia" w:ascii="仿宋_GB2312" w:hAnsi="仿宋_GB2312" w:eastAsia="仿宋_GB2312" w:cs="仿宋_GB2312"/>
          <w:spacing w:val="-8"/>
          <w:sz w:val="32"/>
          <w:szCs w:val="32"/>
          <w:lang w:val="en-US" w:eastAsia="zh-CN"/>
        </w:rPr>
        <w:t>。</w:t>
      </w:r>
    </w:p>
    <w:p w14:paraId="314A825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三）</w:t>
      </w:r>
      <w:r>
        <w:rPr>
          <w:rFonts w:hint="eastAsia" w:ascii="仿宋_GB2312" w:hAnsi="仿宋_GB2312" w:eastAsia="仿宋_GB2312" w:cs="仿宋_GB2312"/>
          <w:b/>
          <w:spacing w:val="-8"/>
          <w:sz w:val="32"/>
          <w:szCs w:val="32"/>
        </w:rPr>
        <w:t>基础设施</w:t>
      </w:r>
    </w:p>
    <w:p w14:paraId="236B344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全校占地面积162.13万平方米，生均占地面积124.78平方米/生，教学行政用房面积27.72万平方米，生均21.33平方米/生，学生宿舍面积17.73万平方米，生均13.65平方米/生，教学科研仪器设备值8935.43万元，生均6877.11元/生，以上数据均已达到教育部《普通高等学校基本办学条件指标（试行）》（教发〔2004〕2号）的要求。</w:t>
      </w:r>
    </w:p>
    <w:p w14:paraId="4FA35E01">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1.教学基础设施</w:t>
      </w:r>
    </w:p>
    <w:p w14:paraId="5064054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w:t>
      </w:r>
      <w:r>
        <w:rPr>
          <w:rFonts w:hint="default" w:ascii="仿宋_GB2312" w:hAnsi="仿宋_GB2312" w:eastAsia="仿宋_GB2312" w:cs="仿宋_GB2312"/>
          <w:spacing w:val="-8"/>
          <w:sz w:val="32"/>
          <w:szCs w:val="32"/>
          <w:lang w:val="en-US" w:eastAsia="zh-CN"/>
        </w:rPr>
        <w:t>教学行政用房面积27</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72万平方米，涵盖教室5.4</w:t>
      </w:r>
      <w:r>
        <w:rPr>
          <w:rFonts w:hint="eastAsia" w:ascii="仿宋_GB2312" w:hAnsi="仿宋_GB2312" w:eastAsia="仿宋_GB2312" w:cs="仿宋_GB2312"/>
          <w:spacing w:val="-8"/>
          <w:sz w:val="32"/>
          <w:szCs w:val="32"/>
          <w:lang w:val="en-US" w:eastAsia="zh-CN"/>
        </w:rPr>
        <w:t>6</w:t>
      </w:r>
      <w:r>
        <w:rPr>
          <w:rFonts w:hint="default" w:ascii="仿宋_GB2312" w:hAnsi="仿宋_GB2312" w:eastAsia="仿宋_GB2312" w:cs="仿宋_GB2312"/>
          <w:spacing w:val="-8"/>
          <w:sz w:val="32"/>
          <w:szCs w:val="32"/>
          <w:lang w:val="en-US" w:eastAsia="zh-CN"/>
        </w:rPr>
        <w:t>万平方米、实验实习</w:t>
      </w:r>
      <w:r>
        <w:rPr>
          <w:rFonts w:hint="eastAsia" w:ascii="仿宋_GB2312" w:hAnsi="仿宋_GB2312" w:eastAsia="仿宋_GB2312" w:cs="仿宋_GB2312"/>
          <w:spacing w:val="-8"/>
          <w:sz w:val="32"/>
          <w:szCs w:val="32"/>
          <w:lang w:val="en-US" w:eastAsia="zh-CN"/>
        </w:rPr>
        <w:t>用房</w:t>
      </w:r>
      <w:r>
        <w:rPr>
          <w:rFonts w:hint="default" w:ascii="仿宋_GB2312" w:hAnsi="仿宋_GB2312" w:eastAsia="仿宋_GB2312" w:cs="仿宋_GB2312"/>
          <w:spacing w:val="-8"/>
          <w:sz w:val="32"/>
          <w:szCs w:val="32"/>
          <w:lang w:val="en-US" w:eastAsia="zh-CN"/>
        </w:rPr>
        <w:t>8</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54万平方米</w:t>
      </w:r>
      <w:r>
        <w:rPr>
          <w:rFonts w:hint="eastAsia" w:ascii="仿宋_GB2312" w:hAnsi="仿宋_GB2312" w:eastAsia="仿宋_GB2312" w:cs="仿宋_GB2312"/>
          <w:spacing w:val="-8"/>
          <w:sz w:val="32"/>
          <w:szCs w:val="32"/>
          <w:lang w:val="en-US" w:eastAsia="zh-CN"/>
        </w:rPr>
        <w:t>、图书馆4.73万平方米</w:t>
      </w:r>
      <w:r>
        <w:rPr>
          <w:rFonts w:hint="default" w:ascii="仿宋_GB2312" w:hAnsi="仿宋_GB2312" w:eastAsia="仿宋_GB2312" w:cs="仿宋_GB2312"/>
          <w:spacing w:val="-8"/>
          <w:sz w:val="32"/>
          <w:szCs w:val="32"/>
          <w:lang w:val="en-US" w:eastAsia="zh-CN"/>
        </w:rPr>
        <w:t>等。此外，配备多媒体教室</w:t>
      </w:r>
      <w:r>
        <w:rPr>
          <w:rFonts w:hint="eastAsia" w:ascii="仿宋_GB2312" w:hAnsi="仿宋_GB2312" w:eastAsia="仿宋_GB2312" w:cs="仿宋_GB2312"/>
          <w:spacing w:val="-8"/>
          <w:sz w:val="32"/>
          <w:szCs w:val="32"/>
          <w:lang w:val="en-US" w:eastAsia="zh-CN"/>
        </w:rPr>
        <w:t>419</w:t>
      </w:r>
      <w:r>
        <w:rPr>
          <w:rFonts w:hint="default" w:ascii="仿宋_GB2312" w:hAnsi="仿宋_GB2312" w:eastAsia="仿宋_GB2312" w:cs="仿宋_GB2312"/>
          <w:spacing w:val="-8"/>
          <w:sz w:val="32"/>
          <w:szCs w:val="32"/>
          <w:lang w:val="en-US" w:eastAsia="zh-CN"/>
        </w:rPr>
        <w:t>间及5781台数字终端，均符合国家普通高校办学标准。</w:t>
      </w:r>
    </w:p>
    <w:p w14:paraId="28C12BC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w:t>
      </w:r>
      <w:r>
        <w:rPr>
          <w:rFonts w:hint="default" w:ascii="仿宋_GB2312" w:hAnsi="仿宋_GB2312" w:eastAsia="仿宋_GB2312" w:cs="仿宋_GB2312"/>
          <w:spacing w:val="-8"/>
          <w:sz w:val="32"/>
          <w:szCs w:val="32"/>
          <w:lang w:val="en-US" w:eastAsia="zh-CN"/>
        </w:rPr>
        <w:t>教学科研设备</w:t>
      </w:r>
    </w:p>
    <w:p w14:paraId="4EEF4E5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学校高度重视教学与科研发展</w:t>
      </w:r>
      <w:r>
        <w:rPr>
          <w:rFonts w:hint="eastAsia" w:ascii="仿宋_GB2312" w:hAnsi="仿宋_GB2312" w:eastAsia="仿宋_GB2312" w:cs="仿宋_GB2312"/>
          <w:spacing w:val="-8"/>
          <w:sz w:val="32"/>
          <w:szCs w:val="32"/>
          <w:lang w:val="en-US" w:eastAsia="zh-CN"/>
        </w:rPr>
        <w:t>，实现</w:t>
      </w:r>
      <w:r>
        <w:rPr>
          <w:rFonts w:hint="default" w:ascii="仿宋_GB2312" w:hAnsi="仿宋_GB2312" w:eastAsia="仿宋_GB2312" w:cs="仿宋_GB2312"/>
          <w:spacing w:val="-8"/>
          <w:sz w:val="32"/>
          <w:szCs w:val="32"/>
          <w:lang w:val="en-US" w:eastAsia="zh-CN"/>
        </w:rPr>
        <w:t>教学科研仪器设备总值</w:t>
      </w:r>
      <w:r>
        <w:rPr>
          <w:rFonts w:hint="eastAsia" w:ascii="仿宋_GB2312" w:hAnsi="仿宋_GB2312" w:eastAsia="仿宋_GB2312" w:cs="仿宋_GB2312"/>
          <w:spacing w:val="-8"/>
          <w:sz w:val="32"/>
          <w:szCs w:val="32"/>
          <w:lang w:val="en-US" w:eastAsia="zh-CN"/>
        </w:rPr>
        <w:t>8935.43</w:t>
      </w:r>
      <w:r>
        <w:rPr>
          <w:rFonts w:hint="default" w:ascii="仿宋_GB2312" w:hAnsi="仿宋_GB2312" w:eastAsia="仿宋_GB2312" w:cs="仿宋_GB2312"/>
          <w:spacing w:val="-8"/>
          <w:sz w:val="32"/>
          <w:szCs w:val="32"/>
          <w:lang w:val="en-US" w:eastAsia="zh-CN"/>
        </w:rPr>
        <w:t>万元，生均</w:t>
      </w:r>
      <w:r>
        <w:rPr>
          <w:rFonts w:hint="eastAsia" w:ascii="仿宋_GB2312" w:hAnsi="仿宋_GB2312" w:eastAsia="仿宋_GB2312" w:cs="仿宋_GB2312"/>
          <w:spacing w:val="-8"/>
          <w:sz w:val="32"/>
          <w:szCs w:val="32"/>
          <w:lang w:val="en-US" w:eastAsia="zh-CN"/>
        </w:rPr>
        <w:t>6877.11元/生</w:t>
      </w:r>
      <w:r>
        <w:rPr>
          <w:rFonts w:hint="default" w:ascii="仿宋_GB2312" w:hAnsi="仿宋_GB2312" w:eastAsia="仿宋_GB2312" w:cs="仿宋_GB2312"/>
          <w:spacing w:val="-8"/>
          <w:sz w:val="32"/>
          <w:szCs w:val="32"/>
          <w:lang w:val="en-US" w:eastAsia="zh-CN"/>
        </w:rPr>
        <w:t>。与202</w:t>
      </w:r>
      <w:r>
        <w:rPr>
          <w:rFonts w:hint="eastAsia" w:ascii="仿宋_GB2312" w:hAnsi="仿宋_GB2312" w:eastAsia="仿宋_GB2312" w:cs="仿宋_GB2312"/>
          <w:spacing w:val="-8"/>
          <w:sz w:val="32"/>
          <w:szCs w:val="32"/>
          <w:lang w:val="en-US" w:eastAsia="zh-CN"/>
        </w:rPr>
        <w:t>4</w:t>
      </w:r>
      <w:r>
        <w:rPr>
          <w:rFonts w:hint="default" w:ascii="仿宋_GB2312" w:hAnsi="仿宋_GB2312" w:eastAsia="仿宋_GB2312" w:cs="仿宋_GB2312"/>
          <w:spacing w:val="-8"/>
          <w:sz w:val="32"/>
          <w:szCs w:val="32"/>
          <w:lang w:val="en-US" w:eastAsia="zh-CN"/>
        </w:rPr>
        <w:t>年相比，202</w:t>
      </w:r>
      <w:r>
        <w:rPr>
          <w:rFonts w:hint="eastAsia" w:ascii="仿宋_GB2312" w:hAnsi="仿宋_GB2312" w:eastAsia="仿宋_GB2312" w:cs="仿宋_GB2312"/>
          <w:spacing w:val="-8"/>
          <w:sz w:val="32"/>
          <w:szCs w:val="32"/>
          <w:lang w:val="en-US" w:eastAsia="zh-CN"/>
        </w:rPr>
        <w:t>5</w:t>
      </w:r>
      <w:r>
        <w:rPr>
          <w:rFonts w:hint="default" w:ascii="仿宋_GB2312" w:hAnsi="仿宋_GB2312" w:eastAsia="仿宋_GB2312" w:cs="仿宋_GB2312"/>
          <w:spacing w:val="-8"/>
          <w:sz w:val="32"/>
          <w:szCs w:val="32"/>
          <w:lang w:val="en-US" w:eastAsia="zh-CN"/>
        </w:rPr>
        <w:t>年新增设备值</w:t>
      </w:r>
      <w:r>
        <w:rPr>
          <w:rFonts w:hint="eastAsia" w:ascii="仿宋_GB2312" w:hAnsi="仿宋_GB2312" w:eastAsia="仿宋_GB2312" w:cs="仿宋_GB2312"/>
          <w:spacing w:val="-8"/>
          <w:sz w:val="32"/>
          <w:szCs w:val="32"/>
          <w:lang w:val="en-US" w:eastAsia="zh-CN"/>
        </w:rPr>
        <w:t>1885.58</w:t>
      </w:r>
      <w:r>
        <w:rPr>
          <w:rFonts w:hint="default" w:ascii="仿宋_GB2312" w:hAnsi="仿宋_GB2312" w:eastAsia="仿宋_GB2312" w:cs="仿宋_GB2312"/>
          <w:spacing w:val="-8"/>
          <w:sz w:val="32"/>
          <w:szCs w:val="32"/>
          <w:lang w:val="en-US" w:eastAsia="zh-CN"/>
        </w:rPr>
        <w:t>万元，涨幅达</w:t>
      </w:r>
      <w:r>
        <w:rPr>
          <w:rFonts w:hint="eastAsia" w:ascii="仿宋_GB2312" w:hAnsi="仿宋_GB2312" w:eastAsia="仿宋_GB2312" w:cs="仿宋_GB2312"/>
          <w:spacing w:val="-8"/>
          <w:sz w:val="32"/>
          <w:szCs w:val="32"/>
          <w:lang w:val="en-US" w:eastAsia="zh-CN"/>
        </w:rPr>
        <w:t>26.74</w:t>
      </w:r>
      <w:r>
        <w:rPr>
          <w:rFonts w:hint="default" w:ascii="仿宋_GB2312" w:hAnsi="仿宋_GB2312" w:eastAsia="仿宋_GB2312" w:cs="仿宋_GB2312"/>
          <w:spacing w:val="-8"/>
          <w:sz w:val="32"/>
          <w:szCs w:val="32"/>
          <w:lang w:val="en-US" w:eastAsia="zh-CN"/>
        </w:rPr>
        <w:t>%。</w:t>
      </w:r>
    </w:p>
    <w:p w14:paraId="19CD2D0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3.图书资料</w:t>
      </w:r>
    </w:p>
    <w:p w14:paraId="5027A32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图书馆总面积4.7万平方米，阅览室座位数4471席。图书馆拥有图书资源总量2824468.2册，其中纸质图书811499册，当年新增33052册。数字资源2012969.2册，包含电子图书1123006册，电子期刊18960册，学位论文772437册，音视频98566.2小时，当年新增电子图书20000册，合计新增纸电图书53052册。</w:t>
      </w:r>
    </w:p>
    <w:p w14:paraId="5FADDBC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数字资源按纸质图书册数折算为540999册，折合后图书资源总量共计1352498册，生均104册，年进书量4.1册。当年图书流通量达到11</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6964</w:t>
      </w:r>
      <w:r>
        <w:rPr>
          <w:rFonts w:hint="eastAsia" w:ascii="仿宋_GB2312" w:hAnsi="仿宋_GB2312" w:eastAsia="仿宋_GB2312" w:cs="仿宋_GB2312"/>
          <w:spacing w:val="-8"/>
          <w:sz w:val="32"/>
          <w:szCs w:val="32"/>
          <w:lang w:val="en-US" w:eastAsia="zh-CN"/>
        </w:rPr>
        <w:t>万</w:t>
      </w:r>
      <w:r>
        <w:rPr>
          <w:rFonts w:hint="default" w:ascii="仿宋_GB2312" w:hAnsi="仿宋_GB2312" w:eastAsia="仿宋_GB2312" w:cs="仿宋_GB2312"/>
          <w:spacing w:val="-8"/>
          <w:sz w:val="32"/>
          <w:szCs w:val="32"/>
          <w:lang w:val="en-US" w:eastAsia="zh-CN"/>
        </w:rPr>
        <w:t>本次，电子资源访问量112</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6062</w:t>
      </w:r>
      <w:r>
        <w:rPr>
          <w:rFonts w:hint="eastAsia" w:ascii="仿宋_GB2312" w:hAnsi="仿宋_GB2312" w:eastAsia="仿宋_GB2312" w:cs="仿宋_GB2312"/>
          <w:spacing w:val="-8"/>
          <w:sz w:val="32"/>
          <w:szCs w:val="32"/>
          <w:lang w:val="en-US" w:eastAsia="zh-CN"/>
        </w:rPr>
        <w:t>万</w:t>
      </w:r>
      <w:r>
        <w:rPr>
          <w:rFonts w:hint="default" w:ascii="仿宋_GB2312" w:hAnsi="仿宋_GB2312" w:eastAsia="仿宋_GB2312" w:cs="仿宋_GB2312"/>
          <w:spacing w:val="-8"/>
          <w:sz w:val="32"/>
          <w:szCs w:val="32"/>
          <w:lang w:val="en-US" w:eastAsia="zh-CN"/>
        </w:rPr>
        <w:t>次，电子资源下载量43</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7726</w:t>
      </w:r>
      <w:r>
        <w:rPr>
          <w:rFonts w:hint="eastAsia" w:ascii="仿宋_GB2312" w:hAnsi="仿宋_GB2312" w:eastAsia="仿宋_GB2312" w:cs="仿宋_GB2312"/>
          <w:spacing w:val="-8"/>
          <w:sz w:val="32"/>
          <w:szCs w:val="32"/>
          <w:lang w:val="en-US" w:eastAsia="zh-CN"/>
        </w:rPr>
        <w:t>万</w:t>
      </w:r>
      <w:r>
        <w:rPr>
          <w:rFonts w:hint="default" w:ascii="仿宋_GB2312" w:hAnsi="仿宋_GB2312" w:eastAsia="仿宋_GB2312" w:cs="仿宋_GB2312"/>
          <w:spacing w:val="-8"/>
          <w:sz w:val="32"/>
          <w:szCs w:val="32"/>
          <w:lang w:val="en-US" w:eastAsia="zh-CN"/>
        </w:rPr>
        <w:t>篇次。</w:t>
      </w:r>
    </w:p>
    <w:p w14:paraId="31A499E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4.</w:t>
      </w:r>
      <w:r>
        <w:rPr>
          <w:rFonts w:hint="default" w:ascii="仿宋_GB2312" w:hAnsi="仿宋_GB2312" w:eastAsia="仿宋_GB2312" w:cs="仿宋_GB2312"/>
          <w:spacing w:val="-8"/>
          <w:sz w:val="32"/>
          <w:szCs w:val="32"/>
          <w:lang w:val="en-US" w:eastAsia="zh-CN"/>
        </w:rPr>
        <w:t>生活设施</w:t>
      </w:r>
    </w:p>
    <w:p w14:paraId="6574E44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学生宿舍总面积17</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7</w:t>
      </w:r>
      <w:r>
        <w:rPr>
          <w:rFonts w:hint="eastAsia" w:ascii="仿宋_GB2312" w:hAnsi="仿宋_GB2312" w:eastAsia="仿宋_GB2312" w:cs="仿宋_GB2312"/>
          <w:spacing w:val="-8"/>
          <w:sz w:val="32"/>
          <w:szCs w:val="32"/>
          <w:lang w:val="en-US" w:eastAsia="zh-CN"/>
        </w:rPr>
        <w:t>3</w:t>
      </w:r>
      <w:r>
        <w:rPr>
          <w:rFonts w:hint="default" w:ascii="仿宋_GB2312" w:hAnsi="仿宋_GB2312" w:eastAsia="仿宋_GB2312" w:cs="仿宋_GB2312"/>
          <w:spacing w:val="-8"/>
          <w:sz w:val="32"/>
          <w:szCs w:val="32"/>
          <w:lang w:val="en-US" w:eastAsia="zh-CN"/>
        </w:rPr>
        <w:t>万平方米，生均</w:t>
      </w:r>
      <w:r>
        <w:rPr>
          <w:rFonts w:hint="eastAsia" w:ascii="仿宋_GB2312" w:hAnsi="仿宋_GB2312" w:eastAsia="仿宋_GB2312" w:cs="仿宋_GB2312"/>
          <w:spacing w:val="-8"/>
          <w:sz w:val="32"/>
          <w:szCs w:val="32"/>
          <w:lang w:val="en-US" w:eastAsia="zh-CN"/>
        </w:rPr>
        <w:t>13.65平方米/生</w:t>
      </w:r>
      <w:r>
        <w:rPr>
          <w:rFonts w:hint="default" w:ascii="仿宋_GB2312" w:hAnsi="仿宋_GB2312" w:eastAsia="仿宋_GB2312" w:cs="仿宋_GB2312"/>
          <w:spacing w:val="-8"/>
          <w:sz w:val="32"/>
          <w:szCs w:val="32"/>
          <w:lang w:val="en-US" w:eastAsia="zh-CN"/>
        </w:rPr>
        <w:t>；食堂面积9326.78平方米，均符合国家普通高校办学标准。</w:t>
      </w:r>
    </w:p>
    <w:p w14:paraId="434D9A1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5.体育设施</w:t>
      </w:r>
    </w:p>
    <w:p w14:paraId="787D5D6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w:t>
      </w:r>
      <w:r>
        <w:rPr>
          <w:rFonts w:hint="default" w:ascii="仿宋_GB2312" w:hAnsi="仿宋_GB2312" w:eastAsia="仿宋_GB2312" w:cs="仿宋_GB2312"/>
          <w:spacing w:val="-8"/>
          <w:sz w:val="32"/>
          <w:szCs w:val="32"/>
          <w:lang w:val="en-US" w:eastAsia="zh-CN"/>
        </w:rPr>
        <w:t>校</w:t>
      </w:r>
      <w:r>
        <w:rPr>
          <w:rFonts w:hint="eastAsia" w:ascii="仿宋_GB2312" w:hAnsi="仿宋_GB2312" w:eastAsia="仿宋_GB2312" w:cs="仿宋_GB2312"/>
          <w:spacing w:val="-8"/>
          <w:sz w:val="32"/>
          <w:szCs w:val="32"/>
          <w:lang w:val="en-US" w:eastAsia="zh-CN"/>
        </w:rPr>
        <w:t>现</w:t>
      </w:r>
      <w:r>
        <w:rPr>
          <w:rFonts w:hint="default" w:ascii="仿宋_GB2312" w:hAnsi="仿宋_GB2312" w:eastAsia="仿宋_GB2312" w:cs="仿宋_GB2312"/>
          <w:spacing w:val="-8"/>
          <w:sz w:val="32"/>
          <w:szCs w:val="32"/>
          <w:lang w:val="en-US" w:eastAsia="zh-CN"/>
        </w:rPr>
        <w:t>有2个室内运动场馆和12个室外运动场地，总面积10.</w:t>
      </w:r>
      <w:r>
        <w:rPr>
          <w:rFonts w:hint="eastAsia" w:ascii="仿宋_GB2312" w:hAnsi="仿宋_GB2312" w:eastAsia="仿宋_GB2312" w:cs="仿宋_GB2312"/>
          <w:spacing w:val="-8"/>
          <w:sz w:val="32"/>
          <w:szCs w:val="32"/>
          <w:lang w:val="en-US" w:eastAsia="zh-CN"/>
        </w:rPr>
        <w:t>77</w:t>
      </w:r>
      <w:r>
        <w:rPr>
          <w:rFonts w:hint="default" w:ascii="仿宋_GB2312" w:hAnsi="仿宋_GB2312" w:eastAsia="仿宋_GB2312" w:cs="仿宋_GB2312"/>
          <w:spacing w:val="-8"/>
          <w:sz w:val="32"/>
          <w:szCs w:val="32"/>
          <w:lang w:val="en-US" w:eastAsia="zh-CN"/>
        </w:rPr>
        <w:t>万平方米，其中室内2.</w:t>
      </w:r>
      <w:r>
        <w:rPr>
          <w:rFonts w:hint="eastAsia" w:ascii="仿宋_GB2312" w:hAnsi="仿宋_GB2312" w:eastAsia="仿宋_GB2312" w:cs="仿宋_GB2312"/>
          <w:spacing w:val="-8"/>
          <w:sz w:val="32"/>
          <w:szCs w:val="32"/>
          <w:lang w:val="en-US" w:eastAsia="zh-CN"/>
        </w:rPr>
        <w:t>73</w:t>
      </w:r>
      <w:r>
        <w:rPr>
          <w:rFonts w:hint="default" w:ascii="仿宋_GB2312" w:hAnsi="仿宋_GB2312" w:eastAsia="仿宋_GB2312" w:cs="仿宋_GB2312"/>
          <w:spacing w:val="-8"/>
          <w:sz w:val="32"/>
          <w:szCs w:val="32"/>
          <w:lang w:val="en-US" w:eastAsia="zh-CN"/>
        </w:rPr>
        <w:t>万平方米，室外8.04万平方米，为师生提供了丰富的体育教育与运动空间。</w:t>
      </w:r>
    </w:p>
    <w:p w14:paraId="688206B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楷体" w:hAnsi="楷体" w:eastAsia="楷体" w:cs="楷体"/>
          <w:b/>
          <w:spacing w:val="-8"/>
          <w:sz w:val="32"/>
          <w:szCs w:val="32"/>
        </w:rPr>
        <w:t>三、教学建设与改革</w:t>
      </w:r>
    </w:p>
    <w:p w14:paraId="7F3A705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一）</w:t>
      </w:r>
      <w:r>
        <w:rPr>
          <w:rFonts w:hint="eastAsia" w:ascii="仿宋_GB2312" w:hAnsi="仿宋_GB2312" w:eastAsia="仿宋_GB2312" w:cs="仿宋_GB2312"/>
          <w:b/>
          <w:spacing w:val="-8"/>
          <w:sz w:val="32"/>
          <w:szCs w:val="32"/>
        </w:rPr>
        <w:t>培养方案</w:t>
      </w:r>
    </w:p>
    <w:p w14:paraId="05A8689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eastAsia="en-US"/>
        </w:rPr>
        <w:t>围绕区域发展与行业需求，融合“德、智、体、美、劳”五育，构建通识、专业、综合素养三大平台</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val="en-US" w:eastAsia="zh-CN"/>
        </w:rPr>
        <w:t>开齐开足思政课</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eastAsia="en-US"/>
        </w:rPr>
        <w:t>强化书院制美育、工坊式劳动教育、俱乐部化体育及赛创研培一体化创新教育。对标国家标准，突出康养、礼仪、国学、敬职“四个素养”和数字化表达、计算、设计、决策“四种能力”,科学设定培养目标，细化毕业要求，构建可评价的人才培养体系。统筹教育资源，构建“三层六级”课程体系，涵盖通识教育、专业基础与专业教育，促进学科交叉融合。完善实践教学体系，包括认知实习至毕业设计等环节，设置情境式、实战化条件。鼓励课程融合实践，设置专业方向模块课程，加强与市场对接，确保实践教学比例不低于30%～35%,培养学生实践技能与绝活。</w:t>
      </w:r>
    </w:p>
    <w:p w14:paraId="76A8C67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二）</w:t>
      </w:r>
      <w:r>
        <w:rPr>
          <w:rFonts w:hint="eastAsia" w:ascii="仿宋_GB2312" w:hAnsi="仿宋_GB2312" w:eastAsia="仿宋_GB2312" w:cs="仿宋_GB2312"/>
          <w:b/>
          <w:spacing w:val="-8"/>
          <w:sz w:val="32"/>
          <w:szCs w:val="32"/>
        </w:rPr>
        <w:t>专业建设</w:t>
      </w:r>
    </w:p>
    <w:p w14:paraId="73CE48F1">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学校致力于服务地方经济社会发展，主动适应国家对教育及产业的新要求，优化专业结构</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val="en-US" w:eastAsia="zh-CN"/>
        </w:rPr>
        <w:t>出台了</w:t>
      </w:r>
      <w:r>
        <w:rPr>
          <w:rFonts w:hint="eastAsia" w:ascii="仿宋_GB2312" w:hAnsi="仿宋_GB2312" w:eastAsia="仿宋_GB2312" w:cs="仿宋_GB2312"/>
          <w:spacing w:val="-8"/>
          <w:sz w:val="32"/>
          <w:szCs w:val="32"/>
          <w:lang w:eastAsia="en-US"/>
        </w:rPr>
        <w:t>《南昌应用技术师范学院专业建设与管理办法》,建立健全专业动态调整机制</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eastAsia="en-US"/>
        </w:rPr>
        <w:t>202</w:t>
      </w:r>
      <w:r>
        <w:rPr>
          <w:rFonts w:hint="eastAsia" w:ascii="仿宋_GB2312" w:hAnsi="仿宋_GB2312" w:eastAsia="仿宋_GB2312" w:cs="仿宋_GB2312"/>
          <w:spacing w:val="-8"/>
          <w:sz w:val="32"/>
          <w:szCs w:val="32"/>
          <w:lang w:val="en-US" w:eastAsia="zh-CN"/>
        </w:rPr>
        <w:t>5</w:t>
      </w:r>
      <w:r>
        <w:rPr>
          <w:rFonts w:hint="eastAsia" w:ascii="仿宋_GB2312" w:hAnsi="仿宋_GB2312" w:eastAsia="仿宋_GB2312" w:cs="仿宋_GB2312"/>
          <w:spacing w:val="-8"/>
          <w:sz w:val="32"/>
          <w:szCs w:val="32"/>
          <w:lang w:eastAsia="en-US"/>
        </w:rPr>
        <w:t>年调整本科专业结构，新增网络工程等4个本科专业，同时申请新增</w:t>
      </w:r>
      <w:r>
        <w:rPr>
          <w:rFonts w:hint="eastAsia" w:ascii="仿宋_GB2312" w:hAnsi="仿宋_GB2312" w:eastAsia="仿宋_GB2312" w:cs="仿宋_GB2312"/>
          <w:spacing w:val="-8"/>
          <w:sz w:val="32"/>
          <w:szCs w:val="32"/>
          <w:lang w:val="en-US" w:eastAsia="zh-CN"/>
        </w:rPr>
        <w:t>机器人工程</w:t>
      </w:r>
      <w:r>
        <w:rPr>
          <w:rFonts w:hint="eastAsia" w:ascii="仿宋_GB2312" w:hAnsi="仿宋_GB2312" w:eastAsia="仿宋_GB2312" w:cs="仿宋_GB2312"/>
          <w:spacing w:val="-8"/>
          <w:sz w:val="32"/>
          <w:szCs w:val="32"/>
          <w:lang w:eastAsia="en-US"/>
        </w:rPr>
        <w:t>等</w:t>
      </w:r>
      <w:r>
        <w:rPr>
          <w:rFonts w:hint="eastAsia" w:ascii="仿宋_GB2312" w:hAnsi="仿宋_GB2312" w:eastAsia="仿宋_GB2312" w:cs="仿宋_GB2312"/>
          <w:spacing w:val="-8"/>
          <w:sz w:val="32"/>
          <w:szCs w:val="32"/>
          <w:lang w:val="en-US" w:eastAsia="zh-CN"/>
        </w:rPr>
        <w:t>8</w:t>
      </w:r>
      <w:r>
        <w:rPr>
          <w:rFonts w:hint="eastAsia" w:ascii="仿宋_GB2312" w:hAnsi="仿宋_GB2312" w:eastAsia="仿宋_GB2312" w:cs="仿宋_GB2312"/>
          <w:spacing w:val="-8"/>
          <w:sz w:val="32"/>
          <w:szCs w:val="32"/>
          <w:lang w:eastAsia="en-US"/>
        </w:rPr>
        <w:t>个专业</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val="en-US" w:eastAsia="zh-CN"/>
        </w:rPr>
        <w:t>停招3个社会需求匹配度不高的本科专业</w:t>
      </w:r>
      <w:r>
        <w:rPr>
          <w:rFonts w:hint="eastAsia" w:ascii="仿宋_GB2312" w:hAnsi="仿宋_GB2312" w:eastAsia="仿宋_GB2312" w:cs="仿宋_GB2312"/>
          <w:spacing w:val="-8"/>
          <w:sz w:val="32"/>
          <w:szCs w:val="32"/>
          <w:lang w:eastAsia="en-US"/>
        </w:rPr>
        <w:t>。</w:t>
      </w:r>
    </w:p>
    <w:p w14:paraId="3125D250">
      <w:pPr>
        <w:keepNext w:val="0"/>
        <w:keepLines w:val="0"/>
        <w:pageBreakBefore w:val="0"/>
        <w:widowControl w:val="0"/>
        <w:kinsoku/>
        <w:wordWrap/>
        <w:overflowPunct/>
        <w:topLinePunct w:val="0"/>
        <w:autoSpaceDE/>
        <w:autoSpaceDN/>
        <w:bidi w:val="0"/>
        <w:adjustRightInd/>
        <w:spacing w:line="580" w:lineRule="exact"/>
        <w:ind w:firstLine="640" w:firstLineChars="200"/>
        <w:jc w:val="both"/>
        <w:textAlignment w:val="auto"/>
        <w:rPr>
          <w:rFonts w:ascii="仿宋_GB2312" w:hAnsi="仿宋_GB2312" w:eastAsia="仿宋_GB2312" w:cs="仿宋_GB2312"/>
          <w:bCs/>
          <w:kern w:val="2"/>
          <w:sz w:val="32"/>
          <w:szCs w:val="32"/>
          <w:lang w:bidi="ar-SA"/>
        </w:rPr>
      </w:pPr>
      <w:r>
        <w:rPr>
          <w:rFonts w:hint="eastAsia" w:ascii="仿宋_GB2312" w:hAnsi="仿宋_GB2312" w:eastAsia="仿宋_GB2312" w:cs="仿宋_GB2312"/>
          <w:bCs/>
          <w:kern w:val="2"/>
          <w:sz w:val="32"/>
          <w:szCs w:val="32"/>
          <w:lang w:val="en-US" w:eastAsia="zh-CN" w:bidi="ar-SA"/>
        </w:rPr>
        <w:t>学校对接</w:t>
      </w:r>
      <w:r>
        <w:rPr>
          <w:rFonts w:ascii="仿宋_GB2312" w:hAnsi="仿宋_GB2312" w:eastAsia="仿宋_GB2312" w:cs="仿宋_GB2312"/>
          <w:bCs/>
          <w:kern w:val="2"/>
          <w:sz w:val="32"/>
          <w:szCs w:val="32"/>
          <w:lang w:bidi="ar-SA"/>
        </w:rPr>
        <w:t>“1269”行动计划，</w:t>
      </w:r>
      <w:r>
        <w:rPr>
          <w:rFonts w:hint="eastAsia" w:ascii="仿宋_GB2312" w:hAnsi="仿宋_GB2312" w:eastAsia="仿宋_GB2312" w:cs="仿宋_GB2312"/>
          <w:bCs/>
          <w:kern w:val="2"/>
          <w:sz w:val="32"/>
          <w:szCs w:val="32"/>
          <w:lang w:val="en-US" w:eastAsia="zh-CN" w:bidi="ar-SA"/>
        </w:rPr>
        <w:t>持续深入推进专业结构优化调整。2025年，学校新增获批智能测控工程、智能科学与技术、</w:t>
      </w:r>
      <w:r>
        <w:rPr>
          <w:rFonts w:ascii="仿宋_GB2312" w:hAnsi="仿宋_GB2312" w:eastAsia="仿宋_GB2312" w:cs="仿宋_GB2312"/>
          <w:bCs/>
          <w:kern w:val="2"/>
          <w:sz w:val="32"/>
          <w:szCs w:val="32"/>
          <w:lang w:bidi="ar-SA"/>
        </w:rPr>
        <w:t>光电信息科学与工程</w:t>
      </w:r>
      <w:r>
        <w:rPr>
          <w:rFonts w:hint="eastAsia" w:ascii="仿宋_GB2312" w:hAnsi="仿宋_GB2312" w:eastAsia="仿宋_GB2312" w:cs="仿宋_GB2312"/>
          <w:bCs/>
          <w:kern w:val="2"/>
          <w:sz w:val="32"/>
          <w:szCs w:val="32"/>
          <w:lang w:eastAsia="zh-CN" w:bidi="ar-SA"/>
        </w:rPr>
        <w:t>、</w:t>
      </w:r>
      <w:r>
        <w:rPr>
          <w:rFonts w:hint="eastAsia" w:ascii="仿宋_GB2312" w:hAnsi="仿宋_GB2312" w:eastAsia="仿宋_GB2312" w:cs="仿宋_GB2312"/>
          <w:bCs/>
          <w:kern w:val="2"/>
          <w:sz w:val="32"/>
          <w:szCs w:val="32"/>
          <w:lang w:val="en-US" w:eastAsia="zh-CN" w:bidi="ar-SA"/>
        </w:rPr>
        <w:t>统计学等4个本科专业，新增本科专业100%为理工类专业，并于2025年起开始招生。学校以工为主的专业结构布局进一步优化，应用型办学定位更加巩固</w:t>
      </w:r>
      <w:r>
        <w:rPr>
          <w:rFonts w:ascii="仿宋_GB2312" w:hAnsi="仿宋_GB2312" w:eastAsia="仿宋_GB2312" w:cs="仿宋_GB2312"/>
          <w:bCs/>
          <w:kern w:val="2"/>
          <w:sz w:val="32"/>
          <w:szCs w:val="32"/>
          <w:lang w:bidi="ar-SA"/>
        </w:rPr>
        <w:t>。</w:t>
      </w:r>
    </w:p>
    <w:p w14:paraId="0260C342">
      <w:pPr>
        <w:keepNext w:val="0"/>
        <w:keepLines w:val="0"/>
        <w:pageBreakBefore w:val="0"/>
        <w:widowControl w:val="0"/>
        <w:kinsoku/>
        <w:wordWrap/>
        <w:overflowPunct/>
        <w:topLinePunct w:val="0"/>
        <w:autoSpaceDE/>
        <w:autoSpaceDN/>
        <w:bidi w:val="0"/>
        <w:adjustRightInd/>
        <w:spacing w:line="580" w:lineRule="exact"/>
        <w:ind w:firstLine="640" w:firstLineChars="200"/>
        <w:jc w:val="both"/>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坚持以市场和就业为导向，结合省“三高三低”专清单，动态调整优化招生专业及招生计划。2025年，我校停招日语、广播电视学、社会体育指导与管理等3个本科专业。汉语言文学、小学教育、环境设计、网络工程、数学与应用数学、土木工程、物联网工程、虚拟现实技术、物理学等9个本科专业招生计划较2024年压缩20%以上。</w:t>
      </w:r>
    </w:p>
    <w:p w14:paraId="7E3DD5F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三）</w:t>
      </w:r>
      <w:r>
        <w:rPr>
          <w:rFonts w:hint="eastAsia" w:ascii="仿宋_GB2312" w:hAnsi="仿宋_GB2312" w:eastAsia="仿宋_GB2312" w:cs="仿宋_GB2312"/>
          <w:b/>
          <w:spacing w:val="-8"/>
          <w:sz w:val="32"/>
          <w:szCs w:val="32"/>
        </w:rPr>
        <w:t>课程建设</w:t>
      </w:r>
    </w:p>
    <w:p w14:paraId="4A1E811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40" w:firstLineChars="200"/>
        <w:textAlignment w:val="auto"/>
        <w:rPr>
          <w:rFonts w:hint="eastAsia" w:ascii="仿宋_GB2312" w:hAnsi="仿宋_GB2312" w:eastAsia="仿宋_GB2312" w:cs="仿宋_GB2312"/>
          <w:bCs/>
          <w:kern w:val="2"/>
          <w:sz w:val="32"/>
          <w:szCs w:val="32"/>
          <w:lang w:val="en-US" w:eastAsia="en-US" w:bidi="ar-SA"/>
        </w:rPr>
      </w:pPr>
      <w:r>
        <w:rPr>
          <w:rFonts w:hint="eastAsia" w:ascii="仿宋_GB2312" w:hAnsi="仿宋_GB2312" w:eastAsia="仿宋_GB2312" w:cs="仿宋_GB2312"/>
          <w:bCs/>
          <w:kern w:val="2"/>
          <w:sz w:val="32"/>
          <w:szCs w:val="32"/>
          <w:lang w:val="en-US" w:eastAsia="en-US" w:bidi="ar-SA"/>
        </w:rPr>
        <w:t>紧密围绕人才培养目标，持续推进课程体系优化与教学模式创新，以“校级—省级”两级建设为主线，以特色课程改革为突破，课程建设质量与内涵得到显著提升。</w:t>
      </w:r>
    </w:p>
    <w:p w14:paraId="348C692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40" w:firstLineChars="200"/>
        <w:textAlignment w:val="auto"/>
        <w:rPr>
          <w:rFonts w:hint="eastAsia" w:ascii="仿宋_GB2312" w:hAnsi="仿宋_GB2312" w:eastAsia="仿宋_GB2312" w:cs="仿宋_GB2312"/>
          <w:bCs/>
          <w:kern w:val="2"/>
          <w:sz w:val="32"/>
          <w:szCs w:val="32"/>
          <w:lang w:val="en-US" w:eastAsia="en-US" w:bidi="ar-SA"/>
        </w:rPr>
      </w:pPr>
      <w:r>
        <w:rPr>
          <w:rFonts w:hint="eastAsia" w:ascii="仿宋_GB2312" w:hAnsi="仿宋_GB2312" w:eastAsia="仿宋_GB2312" w:cs="仿宋_GB2312"/>
          <w:bCs/>
          <w:kern w:val="2"/>
          <w:sz w:val="32"/>
          <w:szCs w:val="32"/>
          <w:lang w:val="en-US" w:eastAsia="en-US" w:bidi="ar-SA"/>
        </w:rPr>
        <w:t>持续加强校级优质课程资源培育，通过“立项培育—过程管理—成果验收”的全流程建设机制，有效推动了课程教学内容、教学方法与考核方式的系统性改革</w:t>
      </w:r>
      <w:r>
        <w:rPr>
          <w:rFonts w:hint="eastAsia" w:ascii="仿宋_GB2312" w:hAnsi="仿宋_GB2312" w:eastAsia="仿宋_GB2312" w:cs="仿宋_GB2312"/>
          <w:bCs/>
          <w:kern w:val="2"/>
          <w:sz w:val="32"/>
          <w:szCs w:val="32"/>
          <w:lang w:val="en-US" w:eastAsia="zh-CN" w:bidi="ar-SA"/>
        </w:rPr>
        <w:t>。</w:t>
      </w:r>
      <w:r>
        <w:rPr>
          <w:rFonts w:hint="eastAsia" w:ascii="仿宋_GB2312" w:hAnsi="仿宋_GB2312" w:eastAsia="仿宋_GB2312" w:cs="仿宋_GB2312"/>
          <w:bCs/>
          <w:kern w:val="2"/>
          <w:sz w:val="32"/>
          <w:szCs w:val="32"/>
          <w:lang w:val="en-US" w:eastAsia="en-US" w:bidi="ar-SA"/>
        </w:rPr>
        <w:t>本年度新立项校级一流本科课程4门，5门校级一流课程</w:t>
      </w:r>
      <w:r>
        <w:rPr>
          <w:rFonts w:hint="eastAsia" w:ascii="仿宋_GB2312" w:hAnsi="仿宋_GB2312" w:eastAsia="仿宋_GB2312" w:cs="仿宋_GB2312"/>
          <w:bCs/>
          <w:kern w:val="2"/>
          <w:sz w:val="32"/>
          <w:szCs w:val="32"/>
          <w:lang w:val="en-US" w:eastAsia="zh-CN" w:bidi="ar-SA"/>
        </w:rPr>
        <w:t>通过</w:t>
      </w:r>
      <w:r>
        <w:rPr>
          <w:rFonts w:hint="eastAsia" w:ascii="仿宋_GB2312" w:hAnsi="仿宋_GB2312" w:eastAsia="仿宋_GB2312" w:cs="仿宋_GB2312"/>
          <w:bCs/>
          <w:kern w:val="2"/>
          <w:sz w:val="32"/>
          <w:szCs w:val="32"/>
          <w:lang w:val="en-US" w:eastAsia="en-US" w:bidi="ar-SA"/>
        </w:rPr>
        <w:t>验收。</w:t>
      </w:r>
    </w:p>
    <w:p w14:paraId="2B8966A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40" w:firstLineChars="200"/>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en-US" w:bidi="ar-SA"/>
        </w:rPr>
        <w:t>深化产教融合，重点推动校企合作课程建设，组织申报江西省校企合作一流课程3门，促进专业教学与产业需求紧密对接。同时，在思政课改革创新领域进行积极探索，组织申报了江西省高校“专题+艺术”特色思政课、江西省高校“师生同台”示范课及“双师同堂”示范课各1门。</w:t>
      </w:r>
    </w:p>
    <w:p w14:paraId="32AC2E6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四）</w:t>
      </w:r>
      <w:r>
        <w:rPr>
          <w:rFonts w:hint="eastAsia" w:ascii="仿宋_GB2312" w:hAnsi="仿宋_GB2312" w:eastAsia="仿宋_GB2312" w:cs="仿宋_GB2312"/>
          <w:b/>
          <w:spacing w:val="-8"/>
          <w:sz w:val="32"/>
          <w:szCs w:val="32"/>
        </w:rPr>
        <w:t>教材建设</w:t>
      </w:r>
    </w:p>
    <w:p w14:paraId="1AEFA6F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eastAsia="en-US"/>
        </w:rPr>
        <w:t>学校高度重视教材建设与管理，依据教育部规定制定多项制度文件，并成立教材工作领导小组和建设工作委员会，实行两级管理。严格规范教材遴选、使用和管理，确保思政公共课“马工程”重点教材100%使用率，优先选用国家</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val="en-US" w:eastAsia="zh-CN"/>
        </w:rPr>
        <w:t>省</w:t>
      </w:r>
      <w:r>
        <w:rPr>
          <w:rFonts w:hint="eastAsia" w:ascii="仿宋_GB2312" w:hAnsi="仿宋_GB2312" w:eastAsia="仿宋_GB2312" w:cs="仿宋_GB2312"/>
          <w:spacing w:val="-8"/>
          <w:sz w:val="32"/>
          <w:szCs w:val="32"/>
          <w:lang w:eastAsia="en-US"/>
        </w:rPr>
        <w:t>规划教材。2024-2025学年，共选用教材731种，全部经过审核，并组织师生进行教材质量评价，获得较高满意度。同时，鼓励教师编写高水平特色教材，推动应用型教材建设发展，本学年共出版教材8部，其中数字教材3部，其他教材5部。另外，我校有两部待出版教材已入选首批江西省“十四五”普通高等教育本科省级规划教材立项建设名单，待审核通过后，即可出版。</w:t>
      </w:r>
    </w:p>
    <w:p w14:paraId="03548C5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五）</w:t>
      </w:r>
      <w:r>
        <w:rPr>
          <w:rFonts w:hint="eastAsia" w:ascii="仿宋_GB2312" w:hAnsi="仿宋_GB2312" w:eastAsia="仿宋_GB2312" w:cs="仿宋_GB2312"/>
          <w:b/>
          <w:spacing w:val="-8"/>
          <w:sz w:val="32"/>
          <w:szCs w:val="32"/>
        </w:rPr>
        <w:t>教学改革</w:t>
      </w:r>
    </w:p>
    <w:p w14:paraId="2560AAE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引导教师进行教学改革。鼓励教师开展教学改革研究和课堂教学改革，通过教研教改立项，资助教师开展教学研究，将教师参与教学改革的工作折合计入教师工作量。鼓励教师开展案例式、启发式、探究式、讨论式、参与式、情景式教学，积极运用翻转课堂、混合式教学等教学模式，注重培养学生的学习能力、创新能力和实践能力。</w:t>
      </w:r>
    </w:p>
    <w:p w14:paraId="112F146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课程考核方式逐步丰富。考试课程一般以笔试方式完成结课考核，考查课程可结合学生平时听课、完成实验、实习、作业、习题、课堂讨论以及平时测验等情况，采取笔试、其他形式或相结合的方式进行结课考核。非闭卷笔试结课考核方式主要有开卷笔试、过程性考核、大作业、小论文、课程报告、实践操作、实践作品、毕业论文、实习报告等。非闭卷笔试结课考核方式须经过学校审批。各门课程的具体考核方式在课程大纲中予以明确并严格执行。</w:t>
      </w:r>
    </w:p>
    <w:p w14:paraId="6FF4ABE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加强教学改革研究，夯实教学创新基础</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eastAsia="en-US"/>
        </w:rPr>
        <w:t>学校高度重视教学改革研究的引领作用，积极组织教师申报各级各类教改项目。本学年，共推荐申报江西省教学改革研究课题11项，其中5项获批立项；获立中国高等教育学会课题1项。在校级层面，立项教学改革研究项目9项，重点建设校级一流本科课程4门。</w:t>
      </w:r>
    </w:p>
    <w:p w14:paraId="489747A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以赛促教强化能力，推动教学水平整体提升</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eastAsia="en-US"/>
        </w:rPr>
        <w:t>学校积极构建“以赛促教、以赛促改”的教师教学发展机制，通过举办校级教学竞赛、组织参加省级以上比赛，有效激发教师教学热情与创新活力。本学年，在校级教师课堂教学比赛中获一等奖2项、二等奖4项、三等奖6项；在校级教师教学创新大赛中获一等奖2项、二等奖2项、三等奖3项。教师参加省级竞赛表现突出，获江西省教师教学创新大赛二等奖1项、三等奖1项；在江西省学校共青团“微团课”大赛中获二等奖1项、三等奖2项。</w:t>
      </w:r>
    </w:p>
    <w:p w14:paraId="60A9D22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深化课程思政建设，落实立德树人根本任务学校持续推进课程思政与思政课程协同建设，着力构建“三全育人”格局。在思政教育教学方面取得多项突破：获评江西省思想政治优秀教学案例1项、江西省思想政治优秀论文1篇；在江西省高校思政课和红色文化课程青年教师教学基本功比赛中获一等奖1项。</w:t>
      </w:r>
    </w:p>
    <w:p w14:paraId="56F66D9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六）</w:t>
      </w:r>
      <w:r>
        <w:rPr>
          <w:rFonts w:hint="eastAsia" w:ascii="仿宋_GB2312" w:hAnsi="仿宋_GB2312" w:eastAsia="仿宋_GB2312" w:cs="仿宋_GB2312"/>
          <w:b/>
          <w:spacing w:val="-8"/>
          <w:sz w:val="32"/>
          <w:szCs w:val="32"/>
        </w:rPr>
        <w:t>课堂教学</w:t>
      </w:r>
    </w:p>
    <w:p w14:paraId="03FAEF3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en-US"/>
        </w:rPr>
      </w:pPr>
      <w:r>
        <w:rPr>
          <w:rFonts w:hint="eastAsia" w:ascii="仿宋_GB2312" w:hAnsi="仿宋_GB2312" w:eastAsia="仿宋_GB2312" w:cs="仿宋_GB2312"/>
          <w:spacing w:val="-8"/>
          <w:sz w:val="32"/>
          <w:szCs w:val="32"/>
          <w:lang w:val="en-US" w:eastAsia="zh-CN"/>
        </w:rPr>
        <w:t>出台了</w:t>
      </w:r>
      <w:r>
        <w:rPr>
          <w:rFonts w:hint="eastAsia" w:ascii="仿宋_GB2312" w:hAnsi="仿宋_GB2312" w:eastAsia="仿宋_GB2312" w:cs="仿宋_GB2312"/>
          <w:spacing w:val="-8"/>
          <w:sz w:val="32"/>
          <w:szCs w:val="32"/>
          <w:lang w:val="en-US" w:eastAsia="en-US"/>
        </w:rPr>
        <w:t>教师课堂教学“5353”</w:t>
      </w:r>
      <w:r>
        <w:rPr>
          <w:rFonts w:hint="eastAsia" w:ascii="仿宋_GB2312" w:hAnsi="仿宋_GB2312" w:eastAsia="仿宋_GB2312" w:cs="仿宋_GB2312"/>
          <w:spacing w:val="-8"/>
          <w:sz w:val="32"/>
          <w:szCs w:val="32"/>
          <w:lang w:val="en-US" w:eastAsia="zh-CN"/>
        </w:rPr>
        <w:t>和</w:t>
      </w:r>
      <w:r>
        <w:rPr>
          <w:rFonts w:hint="eastAsia" w:ascii="仿宋_GB2312" w:hAnsi="仿宋_GB2312" w:eastAsia="仿宋_GB2312" w:cs="仿宋_GB2312"/>
          <w:spacing w:val="-8"/>
          <w:sz w:val="32"/>
          <w:szCs w:val="32"/>
          <w:lang w:val="en-US" w:eastAsia="en-US"/>
        </w:rPr>
        <w:t>学生课堂学习“4646”</w:t>
      </w:r>
      <w:r>
        <w:rPr>
          <w:rFonts w:hint="eastAsia" w:ascii="仿宋_GB2312" w:hAnsi="仿宋_GB2312" w:eastAsia="仿宋_GB2312" w:cs="仿宋_GB2312"/>
          <w:spacing w:val="-8"/>
          <w:sz w:val="32"/>
          <w:szCs w:val="32"/>
          <w:lang w:val="en-US" w:eastAsia="zh-CN"/>
        </w:rPr>
        <w:t>等课堂教学规范要求和标准，</w:t>
      </w:r>
      <w:r>
        <w:rPr>
          <w:rFonts w:hint="eastAsia" w:ascii="仿宋_GB2312" w:hAnsi="仿宋_GB2312" w:eastAsia="仿宋_GB2312" w:cs="仿宋_GB2312"/>
          <w:spacing w:val="-8"/>
          <w:sz w:val="32"/>
          <w:szCs w:val="32"/>
          <w:lang w:val="en-US" w:eastAsia="en-US"/>
        </w:rPr>
        <w:t>有效推动了课堂教学规范全面提升。</w:t>
      </w:r>
      <w:r>
        <w:rPr>
          <w:rFonts w:hint="eastAsia" w:ascii="仿宋_GB2312" w:hAnsi="仿宋_GB2312" w:eastAsia="仿宋_GB2312" w:cs="仿宋_GB2312"/>
          <w:spacing w:val="-8"/>
          <w:sz w:val="32"/>
          <w:szCs w:val="32"/>
          <w:lang w:val="en-US" w:eastAsia="zh-CN"/>
        </w:rPr>
        <w:t>完善了</w:t>
      </w:r>
      <w:r>
        <w:rPr>
          <w:rFonts w:hint="eastAsia" w:ascii="仿宋_GB2312" w:hAnsi="仿宋_GB2312" w:eastAsia="仿宋_GB2312" w:cs="仿宋_GB2312"/>
          <w:spacing w:val="-8"/>
          <w:sz w:val="32"/>
          <w:szCs w:val="32"/>
          <w:lang w:val="en-US" w:eastAsia="en-US"/>
        </w:rPr>
        <w:t>日常课堂教学</w:t>
      </w:r>
      <w:r>
        <w:rPr>
          <w:rFonts w:hint="eastAsia" w:ascii="仿宋_GB2312" w:hAnsi="仿宋_GB2312" w:eastAsia="仿宋_GB2312" w:cs="仿宋_GB2312"/>
          <w:spacing w:val="-8"/>
          <w:sz w:val="32"/>
          <w:szCs w:val="32"/>
          <w:lang w:val="en-US" w:eastAsia="zh-CN"/>
        </w:rPr>
        <w:t>检查通报制度</w:t>
      </w:r>
      <w:r>
        <w:rPr>
          <w:rFonts w:hint="eastAsia" w:ascii="仿宋_GB2312" w:hAnsi="仿宋_GB2312" w:eastAsia="仿宋_GB2312" w:cs="仿宋_GB2312"/>
          <w:spacing w:val="-8"/>
          <w:sz w:val="32"/>
          <w:szCs w:val="32"/>
          <w:lang w:val="en-US" w:eastAsia="en-US"/>
        </w:rPr>
        <w:t>，</w:t>
      </w:r>
      <w:r>
        <w:rPr>
          <w:rFonts w:hint="eastAsia" w:ascii="仿宋_GB2312" w:hAnsi="仿宋_GB2312" w:eastAsia="仿宋_GB2312" w:cs="仿宋_GB2312"/>
          <w:spacing w:val="-8"/>
          <w:sz w:val="32"/>
          <w:szCs w:val="32"/>
          <w:lang w:val="en-US" w:eastAsia="zh-CN"/>
        </w:rPr>
        <w:t>实现对教师、课程、班级的全覆盖，定期通报课堂教学的</w:t>
      </w:r>
      <w:r>
        <w:rPr>
          <w:rFonts w:hint="eastAsia" w:ascii="仿宋_GB2312" w:hAnsi="仿宋_GB2312" w:eastAsia="仿宋_GB2312" w:cs="仿宋_GB2312"/>
          <w:spacing w:val="-8"/>
          <w:sz w:val="32"/>
          <w:szCs w:val="32"/>
          <w:lang w:val="en-US" w:eastAsia="en-US"/>
        </w:rPr>
        <w:t>学生“到课率”、手机“入袋率”和</w:t>
      </w:r>
      <w:r>
        <w:rPr>
          <w:rFonts w:hint="eastAsia" w:ascii="仿宋_GB2312" w:hAnsi="仿宋_GB2312" w:eastAsia="仿宋_GB2312" w:cs="仿宋_GB2312"/>
          <w:spacing w:val="-8"/>
          <w:sz w:val="32"/>
          <w:szCs w:val="32"/>
          <w:lang w:val="en-US" w:eastAsia="zh-CN"/>
        </w:rPr>
        <w:t>抬头</w:t>
      </w:r>
      <w:r>
        <w:rPr>
          <w:rFonts w:hint="eastAsia" w:ascii="仿宋_GB2312" w:hAnsi="仿宋_GB2312" w:eastAsia="仿宋_GB2312" w:cs="仿宋_GB2312"/>
          <w:spacing w:val="-8"/>
          <w:sz w:val="32"/>
          <w:szCs w:val="32"/>
          <w:lang w:val="en-US" w:eastAsia="en-US"/>
        </w:rPr>
        <w:t>“</w:t>
      </w:r>
      <w:r>
        <w:rPr>
          <w:rFonts w:hint="eastAsia" w:ascii="仿宋_GB2312" w:hAnsi="仿宋_GB2312" w:eastAsia="仿宋_GB2312" w:cs="仿宋_GB2312"/>
          <w:spacing w:val="-8"/>
          <w:sz w:val="32"/>
          <w:szCs w:val="32"/>
          <w:lang w:val="en-US" w:eastAsia="zh-CN"/>
        </w:rPr>
        <w:t>听课</w:t>
      </w:r>
      <w:r>
        <w:rPr>
          <w:rFonts w:hint="eastAsia" w:ascii="仿宋_GB2312" w:hAnsi="仿宋_GB2312" w:eastAsia="仿宋_GB2312" w:cs="仿宋_GB2312"/>
          <w:spacing w:val="-8"/>
          <w:sz w:val="32"/>
          <w:szCs w:val="32"/>
          <w:lang w:val="en-US" w:eastAsia="en-US"/>
        </w:rPr>
        <w:t>率”</w:t>
      </w:r>
      <w:r>
        <w:rPr>
          <w:rFonts w:hint="eastAsia" w:ascii="仿宋_GB2312" w:hAnsi="仿宋_GB2312" w:eastAsia="仿宋_GB2312" w:cs="仿宋_GB2312"/>
          <w:spacing w:val="-8"/>
          <w:sz w:val="32"/>
          <w:szCs w:val="32"/>
          <w:lang w:val="en-US" w:eastAsia="zh-CN"/>
        </w:rPr>
        <w:t>予以通报，有力维护了课堂</w:t>
      </w:r>
      <w:r>
        <w:rPr>
          <w:rFonts w:hint="eastAsia" w:ascii="仿宋_GB2312" w:hAnsi="仿宋_GB2312" w:eastAsia="仿宋_GB2312" w:cs="仿宋_GB2312"/>
          <w:spacing w:val="-8"/>
          <w:sz w:val="32"/>
          <w:szCs w:val="32"/>
          <w:lang w:val="en-US" w:eastAsia="en-US"/>
        </w:rPr>
        <w:t>教学平稳有序</w:t>
      </w:r>
      <w:r>
        <w:rPr>
          <w:rFonts w:hint="eastAsia" w:ascii="仿宋_GB2312" w:hAnsi="仿宋_GB2312" w:eastAsia="仿宋_GB2312" w:cs="仿宋_GB2312"/>
          <w:spacing w:val="-8"/>
          <w:sz w:val="32"/>
          <w:szCs w:val="32"/>
          <w:lang w:val="en-US" w:eastAsia="zh-CN"/>
        </w:rPr>
        <w:t>和质量提升</w:t>
      </w:r>
      <w:r>
        <w:rPr>
          <w:rFonts w:hint="eastAsia" w:ascii="仿宋_GB2312" w:hAnsi="仿宋_GB2312" w:eastAsia="仿宋_GB2312" w:cs="仿宋_GB2312"/>
          <w:spacing w:val="-8"/>
          <w:sz w:val="32"/>
          <w:szCs w:val="32"/>
          <w:lang w:val="en-US" w:eastAsia="en-US"/>
        </w:rPr>
        <w:t>。</w:t>
      </w:r>
    </w:p>
    <w:p w14:paraId="25E6E96A">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en-US"/>
        </w:rPr>
      </w:pPr>
      <w:r>
        <w:rPr>
          <w:rFonts w:hint="default" w:ascii="仿宋_GB2312" w:hAnsi="仿宋_GB2312" w:eastAsia="仿宋_GB2312" w:cs="仿宋_GB2312"/>
          <w:spacing w:val="-8"/>
          <w:sz w:val="32"/>
          <w:szCs w:val="32"/>
          <w:lang w:val="en-US" w:eastAsia="zh-CN"/>
        </w:rPr>
        <w:t>深入推进考核方式改革，促进“课证融通、课赛互促”</w:t>
      </w:r>
      <w:r>
        <w:rPr>
          <w:rFonts w:hint="eastAsia" w:ascii="仿宋_GB2312" w:hAnsi="仿宋_GB2312" w:eastAsia="仿宋_GB2312" w:cs="仿宋_GB2312"/>
          <w:spacing w:val="-8"/>
          <w:sz w:val="32"/>
          <w:szCs w:val="32"/>
          <w:lang w:val="en-US" w:eastAsia="zh-CN"/>
        </w:rPr>
        <w:t>，出台了《</w:t>
      </w:r>
      <w:r>
        <w:rPr>
          <w:rFonts w:hint="default" w:ascii="仿宋_GB2312" w:hAnsi="仿宋_GB2312" w:eastAsia="仿宋_GB2312" w:cs="仿宋_GB2312"/>
          <w:spacing w:val="-8"/>
          <w:sz w:val="32"/>
          <w:szCs w:val="32"/>
          <w:lang w:val="en-US" w:eastAsia="zh-CN"/>
        </w:rPr>
        <w:t>课程考核改革实施意见</w:t>
      </w:r>
      <w:r>
        <w:rPr>
          <w:rFonts w:hint="eastAsia" w:ascii="仿宋_GB2312" w:hAnsi="仿宋_GB2312" w:eastAsia="仿宋_GB2312" w:cs="仿宋_GB2312"/>
          <w:spacing w:val="-8"/>
          <w:sz w:val="32"/>
          <w:szCs w:val="32"/>
          <w:lang w:val="en-US" w:eastAsia="zh-CN"/>
        </w:rPr>
        <w:t>》《课程免修免考暂行办法》</w:t>
      </w:r>
      <w:r>
        <w:rPr>
          <w:rFonts w:hint="default" w:ascii="仿宋_GB2312" w:hAnsi="仿宋_GB2312" w:eastAsia="仿宋_GB2312" w:cs="仿宋_GB2312"/>
          <w:spacing w:val="-8"/>
          <w:sz w:val="32"/>
          <w:szCs w:val="32"/>
          <w:lang w:val="en-US" w:eastAsia="zh-CN"/>
        </w:rPr>
        <w:t>《以证（赛）代考</w:t>
      </w:r>
      <w:r>
        <w:rPr>
          <w:rFonts w:hint="eastAsia" w:ascii="仿宋_GB2312" w:hAnsi="仿宋_GB2312" w:eastAsia="仿宋_GB2312" w:cs="仿宋_GB2312"/>
          <w:spacing w:val="-8"/>
          <w:sz w:val="32"/>
          <w:szCs w:val="32"/>
          <w:lang w:val="en-US" w:eastAsia="zh-CN"/>
        </w:rPr>
        <w:t>暂行</w:t>
      </w:r>
      <w:r>
        <w:rPr>
          <w:rFonts w:hint="default" w:ascii="仿宋_GB2312" w:hAnsi="仿宋_GB2312" w:eastAsia="仿宋_GB2312" w:cs="仿宋_GB2312"/>
          <w:spacing w:val="-8"/>
          <w:sz w:val="32"/>
          <w:szCs w:val="32"/>
          <w:lang w:val="en-US" w:eastAsia="zh-CN"/>
        </w:rPr>
        <w:t>办法》</w:t>
      </w:r>
      <w:r>
        <w:rPr>
          <w:rFonts w:hint="eastAsia" w:ascii="仿宋_GB2312" w:hAnsi="仿宋_GB2312" w:eastAsia="仿宋_GB2312" w:cs="仿宋_GB2312"/>
          <w:spacing w:val="-8"/>
          <w:sz w:val="32"/>
          <w:szCs w:val="32"/>
          <w:lang w:val="en-US" w:eastAsia="zh-CN"/>
        </w:rPr>
        <w:t>等考试改革制度文件，课程考核改革持续推进，考核方式手段不断丰富。全年开展考核改革课程40余门次，</w:t>
      </w:r>
      <w:r>
        <w:rPr>
          <w:rFonts w:hint="default" w:ascii="仿宋_GB2312" w:hAnsi="仿宋_GB2312" w:eastAsia="仿宋_GB2312" w:cs="仿宋_GB2312"/>
          <w:spacing w:val="-8"/>
          <w:sz w:val="32"/>
          <w:szCs w:val="32"/>
          <w:lang w:val="en-US" w:eastAsia="zh-CN"/>
        </w:rPr>
        <w:t>135名学生</w:t>
      </w:r>
      <w:r>
        <w:rPr>
          <w:rFonts w:hint="eastAsia" w:ascii="仿宋_GB2312" w:hAnsi="仿宋_GB2312" w:eastAsia="仿宋_GB2312" w:cs="仿宋_GB2312"/>
          <w:spacing w:val="-8"/>
          <w:sz w:val="32"/>
          <w:szCs w:val="32"/>
          <w:lang w:val="en-US" w:eastAsia="zh-CN"/>
        </w:rPr>
        <w:t>取得“以证/赛代考”课程学分，10位同学获得免修或免考</w:t>
      </w:r>
      <w:r>
        <w:rPr>
          <w:rFonts w:hint="default" w:ascii="仿宋_GB2312" w:hAnsi="仿宋_GB2312" w:eastAsia="仿宋_GB2312" w:cs="仿宋_GB2312"/>
          <w:spacing w:val="-8"/>
          <w:sz w:val="32"/>
          <w:szCs w:val="32"/>
          <w:lang w:val="en-US" w:eastAsia="zh-CN"/>
        </w:rPr>
        <w:t>。</w:t>
      </w:r>
    </w:p>
    <w:p w14:paraId="5113C72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持续强化考风考纪建设，</w:t>
      </w:r>
      <w:r>
        <w:rPr>
          <w:rFonts w:hint="eastAsia" w:ascii="仿宋_GB2312" w:hAnsi="仿宋_GB2312" w:eastAsia="仿宋_GB2312" w:cs="仿宋_GB2312"/>
          <w:spacing w:val="-8"/>
          <w:sz w:val="32"/>
          <w:szCs w:val="32"/>
          <w:lang w:val="en-US" w:eastAsia="en-US"/>
        </w:rPr>
        <w:t>通过主题班会、</w:t>
      </w:r>
      <w:r>
        <w:rPr>
          <w:rFonts w:hint="eastAsia" w:ascii="仿宋_GB2312" w:hAnsi="仿宋_GB2312" w:eastAsia="仿宋_GB2312" w:cs="仿宋_GB2312"/>
          <w:spacing w:val="-8"/>
          <w:sz w:val="32"/>
          <w:szCs w:val="32"/>
          <w:lang w:val="en-US" w:eastAsia="zh-CN"/>
        </w:rPr>
        <w:t>专题</w:t>
      </w:r>
      <w:r>
        <w:rPr>
          <w:rFonts w:hint="eastAsia" w:ascii="仿宋_GB2312" w:hAnsi="仿宋_GB2312" w:eastAsia="仿宋_GB2312" w:cs="仿宋_GB2312"/>
          <w:spacing w:val="-8"/>
          <w:sz w:val="32"/>
          <w:szCs w:val="32"/>
          <w:lang w:val="en-US" w:eastAsia="en-US"/>
        </w:rPr>
        <w:t>讲座等形式，增强学生的诚信意识，引导学生树立正确的考试观念。</w:t>
      </w:r>
      <w:r>
        <w:rPr>
          <w:rFonts w:hint="eastAsia" w:ascii="仿宋_GB2312" w:hAnsi="仿宋_GB2312" w:eastAsia="仿宋_GB2312" w:cs="仿宋_GB2312"/>
          <w:spacing w:val="-8"/>
          <w:sz w:val="32"/>
          <w:szCs w:val="32"/>
          <w:lang w:val="en-US" w:eastAsia="zh-CN"/>
        </w:rPr>
        <w:t>利用学校较为完善的智慧校园系统，</w:t>
      </w:r>
      <w:r>
        <w:rPr>
          <w:rFonts w:hint="eastAsia" w:ascii="仿宋_GB2312" w:hAnsi="仿宋_GB2312" w:eastAsia="仿宋_GB2312" w:cs="仿宋_GB2312"/>
          <w:spacing w:val="-8"/>
          <w:sz w:val="32"/>
          <w:szCs w:val="32"/>
          <w:lang w:val="en-US" w:eastAsia="en-US"/>
        </w:rPr>
        <w:t>运用现代化技术手段，加强考</w:t>
      </w:r>
      <w:r>
        <w:rPr>
          <w:rFonts w:hint="eastAsia" w:ascii="仿宋_GB2312" w:hAnsi="仿宋_GB2312" w:eastAsia="仿宋_GB2312" w:cs="仿宋_GB2312"/>
          <w:spacing w:val="-8"/>
          <w:sz w:val="32"/>
          <w:szCs w:val="32"/>
          <w:lang w:val="en-US" w:eastAsia="zh-CN"/>
        </w:rPr>
        <w:t>试纪律</w:t>
      </w:r>
      <w:r>
        <w:rPr>
          <w:rFonts w:hint="eastAsia" w:ascii="仿宋_GB2312" w:hAnsi="仿宋_GB2312" w:eastAsia="仿宋_GB2312" w:cs="仿宋_GB2312"/>
          <w:spacing w:val="-8"/>
          <w:sz w:val="32"/>
          <w:szCs w:val="32"/>
          <w:lang w:val="en-US" w:eastAsia="en-US"/>
        </w:rPr>
        <w:t>管理，</w:t>
      </w:r>
      <w:r>
        <w:rPr>
          <w:rFonts w:hint="eastAsia" w:ascii="仿宋_GB2312" w:hAnsi="仿宋_GB2312" w:eastAsia="仿宋_GB2312" w:cs="仿宋_GB2312"/>
          <w:spacing w:val="-8"/>
          <w:sz w:val="32"/>
          <w:szCs w:val="32"/>
          <w:lang w:val="en-US" w:eastAsia="zh-CN"/>
        </w:rPr>
        <w:t>有力地维护了考试的公平、公正</w:t>
      </w:r>
      <w:r>
        <w:rPr>
          <w:rFonts w:hint="eastAsia" w:ascii="仿宋_GB2312" w:hAnsi="仿宋_GB2312" w:eastAsia="仿宋_GB2312" w:cs="仿宋_GB2312"/>
          <w:spacing w:val="-8"/>
          <w:sz w:val="32"/>
          <w:szCs w:val="32"/>
          <w:lang w:val="en-US" w:eastAsia="en-US"/>
        </w:rPr>
        <w:t>，为学生提供了一个公平竞争的考试环境。</w:t>
      </w:r>
    </w:p>
    <w:p w14:paraId="34B4A31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七）</w:t>
      </w:r>
      <w:r>
        <w:rPr>
          <w:rFonts w:hint="eastAsia" w:ascii="仿宋_GB2312" w:hAnsi="仿宋_GB2312" w:eastAsia="仿宋_GB2312" w:cs="仿宋_GB2312"/>
          <w:b/>
          <w:spacing w:val="-8"/>
          <w:sz w:val="32"/>
          <w:szCs w:val="32"/>
        </w:rPr>
        <w:t>实践教学</w:t>
      </w:r>
    </w:p>
    <w:p w14:paraId="506E60D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学校进一步强化实践教学和学生实践创新能力培养，以培养学生实践能力和创新能力为目标，以训练学生基本实验技能和自主研学为抓手，科学安排实践课程，合理设计每门课程的内容安排，加大实践教学比重，通过课外教学活动、实验室开放、项目开发、学科竞赛、职业认证等多种形式，增强学生的实践能力、职业能力、社会能力、创新创业能力，完善从专业认知、课程实训到综合设计、专业实践的多层次、递进式地实践教育体系。</w:t>
      </w:r>
    </w:p>
    <w:p w14:paraId="7B3B767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val="en-US" w:eastAsia="zh-CN"/>
        </w:rPr>
        <w:t>专业人才培养方案中，</w:t>
      </w:r>
      <w:r>
        <w:rPr>
          <w:rFonts w:hint="eastAsia" w:ascii="仿宋_GB2312" w:hAnsi="仿宋_GB2312" w:eastAsia="仿宋_GB2312" w:cs="仿宋_GB2312"/>
          <w:spacing w:val="-8"/>
          <w:sz w:val="32"/>
          <w:szCs w:val="32"/>
          <w:lang w:eastAsia="en-US"/>
        </w:rPr>
        <w:t>理工科类实践学分占比超过35%,人文社科类实践学分占比超过30%，同时确保实验开出率100%。本学年本科生开设实验的专业课程共计51门。</w:t>
      </w:r>
      <w:r>
        <w:rPr>
          <w:rFonts w:hint="eastAsia" w:ascii="仿宋_GB2312" w:hAnsi="仿宋_GB2312" w:eastAsia="仿宋_GB2312" w:cs="仿宋_GB2312"/>
          <w:spacing w:val="-8"/>
          <w:sz w:val="32"/>
          <w:szCs w:val="32"/>
          <w:lang w:val="en-US" w:eastAsia="zh-CN"/>
        </w:rPr>
        <w:t>不断优化实验技术人员，现有</w:t>
      </w:r>
      <w:r>
        <w:rPr>
          <w:rFonts w:hint="eastAsia" w:ascii="仿宋_GB2312" w:hAnsi="仿宋_GB2312" w:eastAsia="仿宋_GB2312" w:cs="仿宋_GB2312"/>
          <w:spacing w:val="-8"/>
          <w:sz w:val="32"/>
          <w:szCs w:val="32"/>
          <w:lang w:eastAsia="en-US"/>
        </w:rPr>
        <w:t>实验技术人员7人，具有硕士及以上学位1人。</w:t>
      </w:r>
    </w:p>
    <w:p w14:paraId="6F7FA4F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eastAsia="en-US"/>
        </w:rPr>
        <w:t>学校将专业见习与实习活动作为社会实践的重要载体，先后安排1409名学生到广东粤嵌通信科技股份有限公司、广东徽贝信息科技股份有限公司、合肥宝德网络技术有限公司、亲子猫(北京)国际教育科技有限公司、江西庐山西海旅游发展集团有限公司、鸭鸭股份公司、九江市第三中学港城分校、深圳博才教育发展有限公司上海译国译民翻译服务有限公司、江西来野赛事运营有限公司等</w:t>
      </w:r>
      <w:r>
        <w:rPr>
          <w:rFonts w:hint="eastAsia" w:ascii="仿宋_GB2312" w:hAnsi="仿宋_GB2312" w:eastAsia="仿宋_GB2312" w:cs="仿宋_GB2312"/>
          <w:spacing w:val="-8"/>
          <w:sz w:val="32"/>
          <w:szCs w:val="32"/>
          <w:lang w:val="en-US" w:eastAsia="zh-CN"/>
        </w:rPr>
        <w:t>86</w:t>
      </w:r>
      <w:r>
        <w:rPr>
          <w:rFonts w:hint="eastAsia" w:ascii="仿宋_GB2312" w:hAnsi="仿宋_GB2312" w:eastAsia="仿宋_GB2312" w:cs="仿宋_GB2312"/>
          <w:spacing w:val="-8"/>
          <w:sz w:val="32"/>
          <w:szCs w:val="32"/>
          <w:lang w:eastAsia="en-US"/>
        </w:rPr>
        <w:t>家企业参加</w:t>
      </w:r>
      <w:r>
        <w:rPr>
          <w:rFonts w:hint="eastAsia" w:ascii="仿宋_GB2312" w:hAnsi="仿宋_GB2312" w:eastAsia="仿宋_GB2312" w:cs="仿宋_GB2312"/>
          <w:spacing w:val="-8"/>
          <w:sz w:val="32"/>
          <w:szCs w:val="32"/>
          <w:lang w:val="en-US" w:eastAsia="zh-CN"/>
        </w:rPr>
        <w:t>专业</w:t>
      </w:r>
      <w:r>
        <w:rPr>
          <w:rFonts w:hint="eastAsia" w:ascii="仿宋_GB2312" w:hAnsi="仿宋_GB2312" w:eastAsia="仿宋_GB2312" w:cs="仿宋_GB2312"/>
          <w:spacing w:val="-8"/>
          <w:sz w:val="32"/>
          <w:szCs w:val="32"/>
          <w:lang w:eastAsia="en-US"/>
        </w:rPr>
        <w:t>见习与实习。</w:t>
      </w:r>
    </w:p>
    <w:p w14:paraId="7E3BCA4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八）</w:t>
      </w:r>
      <w:r>
        <w:rPr>
          <w:rFonts w:hint="eastAsia" w:ascii="仿宋_GB2312" w:hAnsi="仿宋_GB2312" w:eastAsia="仿宋_GB2312" w:cs="仿宋_GB2312"/>
          <w:b/>
          <w:spacing w:val="-8"/>
          <w:sz w:val="32"/>
          <w:szCs w:val="32"/>
        </w:rPr>
        <w:t>毕业论文（设计）</w:t>
      </w:r>
    </w:p>
    <w:p w14:paraId="0D10E1FA">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en-US"/>
        </w:rPr>
        <w:t>学校依据《南昌应用技术师范学院毕业论文(设计)工作管理办法》,成立毕业论文工作领导小组及二级学院工作组，全面监督管理毕业论文工作。</w:t>
      </w:r>
      <w:r>
        <w:rPr>
          <w:rFonts w:hint="eastAsia" w:ascii="仿宋_GB2312" w:hAnsi="仿宋_GB2312" w:eastAsia="仿宋_GB2312" w:cs="仿宋_GB2312"/>
          <w:spacing w:val="-8"/>
          <w:sz w:val="32"/>
          <w:szCs w:val="32"/>
          <w:lang w:val="en-US" w:eastAsia="zh-CN"/>
        </w:rPr>
        <w:t>严格选题、开题、过程指导、评阅、答辩等各环节，确保毕业论文（设计）工作规范有序、高质量开展。2025届本科毕业生，</w:t>
      </w:r>
      <w:r>
        <w:rPr>
          <w:rFonts w:hint="eastAsia" w:ascii="仿宋_GB2312" w:hAnsi="仿宋_GB2312" w:eastAsia="仿宋_GB2312" w:cs="仿宋_GB2312"/>
          <w:spacing w:val="-8"/>
          <w:sz w:val="32"/>
          <w:szCs w:val="32"/>
          <w:lang w:val="en-US" w:eastAsia="en-US"/>
        </w:rPr>
        <w:t>共有</w:t>
      </w:r>
      <w:r>
        <w:rPr>
          <w:rFonts w:hint="eastAsia" w:ascii="仿宋_GB2312" w:hAnsi="仿宋_GB2312" w:eastAsia="仿宋_GB2312" w:cs="仿宋_GB2312"/>
          <w:spacing w:val="-8"/>
          <w:sz w:val="32"/>
          <w:szCs w:val="32"/>
          <w:lang w:val="en-US" w:eastAsia="zh-CN"/>
        </w:rPr>
        <w:t>286</w:t>
      </w:r>
      <w:r>
        <w:rPr>
          <w:rFonts w:hint="eastAsia" w:ascii="仿宋_GB2312" w:hAnsi="仿宋_GB2312" w:eastAsia="仿宋_GB2312" w:cs="仿宋_GB2312"/>
          <w:spacing w:val="-8"/>
          <w:sz w:val="32"/>
          <w:szCs w:val="32"/>
          <w:lang w:val="en-US" w:eastAsia="en-US"/>
        </w:rPr>
        <w:t>名教师指导</w:t>
      </w:r>
      <w:r>
        <w:rPr>
          <w:rFonts w:hint="eastAsia" w:ascii="仿宋_GB2312" w:hAnsi="仿宋_GB2312" w:eastAsia="仿宋_GB2312" w:cs="仿宋_GB2312"/>
          <w:spacing w:val="-8"/>
          <w:sz w:val="32"/>
          <w:szCs w:val="32"/>
          <w:lang w:val="en-US" w:eastAsia="zh-CN"/>
        </w:rPr>
        <w:t>2185</w:t>
      </w:r>
      <w:r>
        <w:rPr>
          <w:rFonts w:hint="eastAsia" w:ascii="仿宋_GB2312" w:hAnsi="仿宋_GB2312" w:eastAsia="仿宋_GB2312" w:cs="仿宋_GB2312"/>
          <w:spacing w:val="-8"/>
          <w:sz w:val="32"/>
          <w:szCs w:val="32"/>
          <w:lang w:val="en-US" w:eastAsia="en-US"/>
        </w:rPr>
        <w:t>名本科生毕业论文(设计),平均每位教师指导</w:t>
      </w:r>
      <w:r>
        <w:rPr>
          <w:rFonts w:hint="eastAsia" w:ascii="仿宋_GB2312" w:hAnsi="仿宋_GB2312" w:eastAsia="仿宋_GB2312" w:cs="仿宋_GB2312"/>
          <w:spacing w:val="-8"/>
          <w:sz w:val="32"/>
          <w:szCs w:val="32"/>
          <w:lang w:val="en-US" w:eastAsia="zh-CN"/>
        </w:rPr>
        <w:t>不超过</w:t>
      </w:r>
      <w:r>
        <w:rPr>
          <w:rFonts w:hint="eastAsia" w:ascii="仿宋_GB2312" w:hAnsi="仿宋_GB2312" w:eastAsia="仿宋_GB2312" w:cs="仿宋_GB2312"/>
          <w:spacing w:val="-8"/>
          <w:sz w:val="32"/>
          <w:szCs w:val="32"/>
          <w:lang w:val="en-US" w:eastAsia="en-US"/>
        </w:rPr>
        <w:t>8名学生。毕业论文工作经过严格选题评审、学术不端检索、论文抽检及答辩等环节，严格按照教育部相关文件精神执行，确保毕业论文质量。</w:t>
      </w:r>
      <w:r>
        <w:rPr>
          <w:rFonts w:hint="eastAsia" w:ascii="仿宋_GB2312" w:hAnsi="仿宋_GB2312" w:eastAsia="仿宋_GB2312" w:cs="仿宋_GB2312"/>
          <w:spacing w:val="-8"/>
          <w:sz w:val="32"/>
          <w:szCs w:val="32"/>
          <w:lang w:val="en-US" w:eastAsia="zh-CN"/>
        </w:rPr>
        <w:t>我校2025届</w:t>
      </w:r>
      <w:r>
        <w:rPr>
          <w:rFonts w:hint="eastAsia" w:ascii="仿宋_GB2312" w:hAnsi="仿宋_GB2312" w:eastAsia="仿宋_GB2312" w:cs="仿宋_GB2312"/>
          <w:spacing w:val="-8"/>
          <w:sz w:val="32"/>
          <w:szCs w:val="32"/>
          <w:lang w:val="en-US" w:eastAsia="en-US"/>
        </w:rPr>
        <w:t>本科毕业论文(设计)</w:t>
      </w:r>
      <w:r>
        <w:rPr>
          <w:rFonts w:hint="eastAsia" w:ascii="仿宋_GB2312" w:hAnsi="仿宋_GB2312" w:eastAsia="仿宋_GB2312" w:cs="仿宋_GB2312"/>
          <w:spacing w:val="-8"/>
          <w:sz w:val="32"/>
          <w:szCs w:val="32"/>
          <w:lang w:val="en-US" w:eastAsia="zh-CN"/>
        </w:rPr>
        <w:t>教育部</w:t>
      </w:r>
      <w:r>
        <w:rPr>
          <w:rFonts w:hint="eastAsia" w:ascii="仿宋_GB2312" w:hAnsi="仿宋_GB2312" w:eastAsia="仿宋_GB2312" w:cs="仿宋_GB2312"/>
          <w:spacing w:val="-8"/>
          <w:sz w:val="32"/>
          <w:szCs w:val="32"/>
          <w:lang w:val="en-US" w:eastAsia="en-US"/>
        </w:rPr>
        <w:t>抽检合格率为100%</w:t>
      </w:r>
      <w:r>
        <w:rPr>
          <w:rFonts w:hint="eastAsia" w:ascii="仿宋_GB2312" w:hAnsi="仿宋_GB2312" w:eastAsia="仿宋_GB2312" w:cs="仿宋_GB2312"/>
          <w:spacing w:val="-8"/>
          <w:sz w:val="32"/>
          <w:szCs w:val="32"/>
          <w:lang w:val="en-US" w:eastAsia="zh-CN"/>
        </w:rPr>
        <w:t>，以实验、实习、工程实践和社会调查等实践性工作为基础的毕业论文（设计）比例达到87.28%</w:t>
      </w:r>
      <w:r>
        <w:rPr>
          <w:rFonts w:hint="eastAsia" w:ascii="仿宋_GB2312" w:hAnsi="仿宋_GB2312" w:eastAsia="仿宋_GB2312" w:cs="仿宋_GB2312"/>
          <w:spacing w:val="-8"/>
          <w:sz w:val="32"/>
          <w:szCs w:val="32"/>
          <w:lang w:val="en-US" w:eastAsia="en-US"/>
        </w:rPr>
        <w:t>。</w:t>
      </w:r>
    </w:p>
    <w:p w14:paraId="084E8F6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九）</w:t>
      </w:r>
      <w:r>
        <w:rPr>
          <w:rFonts w:hint="eastAsia" w:ascii="仿宋_GB2312" w:hAnsi="仿宋_GB2312" w:eastAsia="仿宋_GB2312" w:cs="仿宋_GB2312"/>
          <w:b/>
          <w:spacing w:val="-8"/>
          <w:sz w:val="32"/>
          <w:szCs w:val="32"/>
        </w:rPr>
        <w:t>国际合作教育</w:t>
      </w:r>
    </w:p>
    <w:p w14:paraId="06D5FC9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学校积极探索申报中外合作办学机构与项目申报工作，主动申报留学生培养资质院校，为留学生教育和学生获得境外高质量教育资源搭建平台，积极开展对外交流项目</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eastAsia="en-US"/>
        </w:rPr>
        <w:t>发布师生交流</w:t>
      </w:r>
      <w:r>
        <w:rPr>
          <w:rFonts w:hint="eastAsia" w:ascii="仿宋_GB2312" w:hAnsi="仿宋_GB2312" w:eastAsia="仿宋_GB2312" w:cs="仿宋_GB2312"/>
          <w:spacing w:val="-8"/>
          <w:sz w:val="32"/>
          <w:szCs w:val="32"/>
          <w:lang w:val="en-US" w:eastAsia="zh-CN"/>
        </w:rPr>
        <w:t>访学</w:t>
      </w:r>
      <w:r>
        <w:rPr>
          <w:rFonts w:hint="eastAsia" w:ascii="仿宋_GB2312" w:hAnsi="仿宋_GB2312" w:eastAsia="仿宋_GB2312" w:cs="仿宋_GB2312"/>
          <w:spacing w:val="-8"/>
          <w:sz w:val="32"/>
          <w:szCs w:val="32"/>
          <w:lang w:eastAsia="en-US"/>
        </w:rPr>
        <w:t>项目5项，1人经选拔及国家留学基金委审批，赴匈牙利欧布达大学环境工程专业交流学习，2名学生获得赴美实习交流机会，利用假期赴美实习。开展天工优阶免费英语培训项目，参训学生英语交流能力大幅提升，7名学生获得国（境）外研究生录取通知书。</w:t>
      </w:r>
    </w:p>
    <w:p w14:paraId="74F42B6A">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十）</w:t>
      </w:r>
      <w:r>
        <w:rPr>
          <w:rFonts w:hint="eastAsia" w:ascii="仿宋_GB2312" w:hAnsi="仿宋_GB2312" w:eastAsia="仿宋_GB2312" w:cs="仿宋_GB2312"/>
          <w:b/>
          <w:spacing w:val="-8"/>
          <w:sz w:val="32"/>
          <w:szCs w:val="32"/>
        </w:rPr>
        <w:t>学生创新创业教育</w:t>
      </w:r>
    </w:p>
    <w:p w14:paraId="59723A2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学校深入贯彻国家创新驱动发展战略，将创新创业教育融入人才培养全过程，着力构建“项目驱动、平台支撑、服务保障、规范管理”四位一体的工作体系，在项目培育、实践平台建设与企业孵化服务等方面取得了实质性进展。</w:t>
      </w:r>
    </w:p>
    <w:p w14:paraId="18A5401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一是强化项目全过程管理，提升创新训练质量。本学年，成功获批省级大学生创新创业训练计划项目8项，为学生开展创新实践提供了有力支持。同时，加强项目结题指导与验收，累计完成项目结题10项，其中包括国家级项目2项、省级项目11项，项目完成质量与成果转化率稳步提升，有效锻炼了学生的创新思维与实践能力。</w:t>
      </w:r>
    </w:p>
    <w:p w14:paraId="71A45A5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二是拓展对外展示平台，浓厚校园创业氛围。学校积极组织学生项目“走出去”，参与更广阔的交流展示。本学年，遴选两个优秀创业项目参加了南昌市“创在洪城”系列活动之创业集市及成果展，与社会资本和市场进行直接对接，拓宽了学生视野，提升了项目影响力。此外，学校创新创业平台建设获得上级认可，成功获批“九江众创空间”，为集聚创新资源、服务区域双创提供了更高层级的载体。</w:t>
      </w:r>
    </w:p>
    <w:p w14:paraId="41063B9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三是优化孵化基地服务，切实助力企业成长。本学年，成功引入9家学生创业企业（团队）入驻。基地致力于提供全链条、低成本的创业服务，不仅提供基础办公空间，更协助入驻企业办理住所证明、场地租赁协议用印、不动产证明材料出具及营业执照申领等关键手续，显著降低了学生的创业门槛与初期运营成本，体现了学校对学生创业实体的实质性扶持。</w:t>
      </w:r>
    </w:p>
    <w:p w14:paraId="3AC69E7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四是完善日常运行机制，保障基地规范运营。为确保孵化基地健康、可持续发展，管理部门建立了规范的日常运行机制，按时按质完成孵化基地各项运营数据的统计与上报工作，实现了对基地入驻企业情况、服务成效及空间使用率的动态监测与规范化管理，为后续政策优化与服务升级提供了数据支撑。</w:t>
      </w:r>
    </w:p>
    <w:p w14:paraId="13AA8FA2">
      <w:pPr>
        <w:pStyle w:val="5"/>
        <w:keepNext w:val="0"/>
        <w:keepLines w:val="0"/>
        <w:pageBreakBefore w:val="0"/>
        <w:widowControl w:val="0"/>
        <w:kinsoku/>
        <w:wordWrap/>
        <w:overflowPunct/>
        <w:topLinePunct w:val="0"/>
        <w:autoSpaceDE/>
        <w:autoSpaceDN/>
        <w:bidi w:val="0"/>
        <w:spacing w:after="0"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楷体" w:hAnsi="楷体" w:eastAsia="楷体" w:cs="楷体"/>
          <w:b/>
          <w:spacing w:val="-8"/>
          <w:sz w:val="32"/>
          <w:szCs w:val="32"/>
        </w:rPr>
        <w:t>四、专业培养能力</w:t>
      </w:r>
    </w:p>
    <w:p w14:paraId="7C28A85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default" w:ascii="仿宋_GB2312" w:hAnsi="仿宋_GB2312" w:eastAsia="仿宋_GB2312" w:cs="仿宋_GB2312"/>
          <w:b/>
          <w:spacing w:val="-8"/>
          <w:sz w:val="32"/>
          <w:szCs w:val="32"/>
          <w:lang w:val="en-US" w:eastAsia="zh-CN"/>
        </w:rPr>
      </w:pPr>
      <w:r>
        <w:rPr>
          <w:rFonts w:hint="eastAsia" w:ascii="仿宋_GB2312" w:hAnsi="仿宋_GB2312" w:eastAsia="仿宋_GB2312" w:cs="仿宋_GB2312"/>
          <w:b/>
          <w:spacing w:val="-8"/>
          <w:sz w:val="32"/>
          <w:szCs w:val="32"/>
          <w:lang w:val="en-US" w:eastAsia="zh-CN"/>
        </w:rPr>
        <w:t>（一）专业培养目标</w:t>
      </w:r>
    </w:p>
    <w:p w14:paraId="44B29343">
      <w:pPr>
        <w:pStyle w:val="5"/>
        <w:keepNext w:val="0"/>
        <w:keepLines w:val="0"/>
        <w:pageBreakBefore w:val="0"/>
        <w:widowControl w:val="0"/>
        <w:kinsoku/>
        <w:wordWrap/>
        <w:overflowPunct/>
        <w:topLinePunct w:val="0"/>
        <w:autoSpaceDE/>
        <w:autoSpaceDN/>
        <w:bidi w:val="0"/>
        <w:spacing w:after="0" w:afterAutospacing="0" w:line="560" w:lineRule="exact"/>
        <w:ind w:firstLine="608" w:firstLineChars="200"/>
        <w:textAlignment w:val="auto"/>
        <w:rPr>
          <w:rFonts w:hint="eastAsia" w:ascii="仿宋_GB2312" w:hAnsi="仿宋_GB2312" w:eastAsia="仿宋_GB2312" w:cs="仿宋_GB2312"/>
          <w:spacing w:val="-8"/>
          <w:sz w:val="32"/>
          <w:szCs w:val="32"/>
          <w:lang w:eastAsia="zh-CN"/>
        </w:rPr>
      </w:pPr>
      <w:r>
        <w:rPr>
          <w:rFonts w:hint="eastAsia" w:ascii="仿宋_GB2312" w:hAnsi="仿宋_GB2312" w:eastAsia="仿宋_GB2312" w:cs="仿宋_GB2312"/>
          <w:spacing w:val="-8"/>
          <w:sz w:val="32"/>
          <w:szCs w:val="32"/>
          <w:lang w:eastAsia="zh-CN"/>
        </w:rPr>
        <w:t>以立德树人为根本，培养德智体美劳全面发展，具备运用专业理论知识和技术技能解决本专业领域较复杂问题，胜任岗位工作，素质全面、身心健康、学养厚实、能力突出的应用型人才。各专业根据本科层次应用型人才培养的要求，明确</w:t>
      </w:r>
      <w:r>
        <w:rPr>
          <w:rFonts w:hint="eastAsia" w:ascii="仿宋_GB2312" w:hAnsi="仿宋_GB2312" w:eastAsia="仿宋_GB2312" w:cs="仿宋_GB2312"/>
          <w:spacing w:val="-8"/>
          <w:sz w:val="32"/>
          <w:szCs w:val="32"/>
          <w:lang w:val="en-US" w:eastAsia="zh-CN"/>
        </w:rPr>
        <w:t>了</w:t>
      </w:r>
      <w:r>
        <w:rPr>
          <w:rFonts w:hint="eastAsia" w:ascii="仿宋_GB2312" w:hAnsi="仿宋_GB2312" w:eastAsia="仿宋_GB2312" w:cs="仿宋_GB2312"/>
          <w:spacing w:val="-8"/>
          <w:sz w:val="32"/>
          <w:szCs w:val="32"/>
          <w:lang w:eastAsia="zh-CN"/>
        </w:rPr>
        <w:t>具体的理论要求、技术技能、行业面向、职业指向和可考证书，并按照工程教育认证</w:t>
      </w:r>
      <w:r>
        <w:rPr>
          <w:rFonts w:hint="eastAsia" w:ascii="仿宋_GB2312" w:hAnsi="仿宋_GB2312" w:eastAsia="仿宋_GB2312" w:cs="仿宋_GB2312"/>
          <w:spacing w:val="-8"/>
          <w:sz w:val="32"/>
          <w:szCs w:val="32"/>
          <w:lang w:val="en-US" w:eastAsia="zh-CN"/>
        </w:rPr>
        <w:t>或师范专业认证</w:t>
      </w:r>
      <w:r>
        <w:rPr>
          <w:rFonts w:hint="eastAsia" w:ascii="仿宋_GB2312" w:hAnsi="仿宋_GB2312" w:eastAsia="仿宋_GB2312" w:cs="仿宋_GB2312"/>
          <w:spacing w:val="-8"/>
          <w:sz w:val="32"/>
          <w:szCs w:val="32"/>
          <w:lang w:eastAsia="zh-CN"/>
        </w:rPr>
        <w:t>标准要求，</w:t>
      </w:r>
      <w:r>
        <w:rPr>
          <w:rFonts w:hint="eastAsia" w:ascii="仿宋_GB2312" w:hAnsi="仿宋_GB2312" w:eastAsia="仿宋_GB2312" w:cs="仿宋_GB2312"/>
          <w:spacing w:val="-8"/>
          <w:sz w:val="32"/>
          <w:szCs w:val="32"/>
          <w:lang w:val="en-US" w:eastAsia="zh-CN"/>
        </w:rPr>
        <w:t>规划了</w:t>
      </w:r>
      <w:r>
        <w:rPr>
          <w:rFonts w:hint="eastAsia" w:ascii="仿宋_GB2312" w:hAnsi="仿宋_GB2312" w:eastAsia="仿宋_GB2312" w:cs="仿宋_GB2312"/>
          <w:spacing w:val="-8"/>
          <w:sz w:val="32"/>
          <w:szCs w:val="32"/>
          <w:lang w:eastAsia="zh-CN"/>
        </w:rPr>
        <w:t>本专业毕业生毕业后从事本专业相关工作5年左右预期达到的目标。</w:t>
      </w:r>
    </w:p>
    <w:p w14:paraId="574D9859">
      <w:pPr>
        <w:pStyle w:val="5"/>
        <w:keepNext w:val="0"/>
        <w:keepLines w:val="0"/>
        <w:pageBreakBefore w:val="0"/>
        <w:widowControl w:val="0"/>
        <w:kinsoku/>
        <w:wordWrap/>
        <w:overflowPunct/>
        <w:topLinePunct w:val="0"/>
        <w:autoSpaceDE/>
        <w:autoSpaceDN/>
        <w:bidi w:val="0"/>
        <w:spacing w:after="0"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各</w:t>
      </w:r>
      <w:r>
        <w:rPr>
          <w:rFonts w:hint="eastAsia" w:ascii="仿宋_GB2312" w:hAnsi="仿宋_GB2312" w:eastAsia="仿宋_GB2312" w:cs="仿宋_GB2312"/>
          <w:spacing w:val="-8"/>
          <w:sz w:val="32"/>
          <w:szCs w:val="32"/>
          <w:lang w:eastAsia="en-US"/>
        </w:rPr>
        <w:t>人才培养方案课程体系由通识素养、专业素养和综合素养“三大”教学平台组成，课程性质分为必修和选修，学分占比要求符合《普通高等学校本科专业类教学质量国家标准》相关规定，满足专业培养需求。</w:t>
      </w:r>
    </w:p>
    <w:p w14:paraId="2490DAB5">
      <w:pPr>
        <w:keepNext w:val="0"/>
        <w:keepLines w:val="0"/>
        <w:pageBreakBefore w:val="0"/>
        <w:widowControl w:val="0"/>
        <w:kinsoku/>
        <w:wordWrap/>
        <w:overflowPunct/>
        <w:topLinePunct w:val="0"/>
        <w:autoSpaceDE/>
        <w:autoSpaceDN/>
        <w:bidi w:val="0"/>
        <w:adjustRightInd/>
        <w:spacing w:line="580" w:lineRule="exact"/>
        <w:ind w:firstLine="640" w:firstLineChars="200"/>
        <w:jc w:val="both"/>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立足国家发展新质生产力的战略需求，顺应智能时代高等教育变革趋势，以“AI赋能、交叉融合、产教协同、个性发展”为核心理念，积极推动专业交叉融合。目前，正积极推动通过“AI+信息制造”实现智能创造与先进制造，“智慧+艺术传媒”实现科技艺术与智能媒体，“信息+金融管理”实现金融科技与数据决策，“数智+文化教育”实现数字人文与智慧教育，做实做优信息制造、艺术传媒、金融管理、文化教育四大专业集群。</w:t>
      </w:r>
    </w:p>
    <w:p w14:paraId="3BC8E715">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积极推进各专业的数字化改造升级。除面向全体学生开设《大学计算机基础》课程外，还增设《生成式人工智能技术》通识必修课，以更好地适应人工智能时代对人才的需求。专业核心能力培养方面，计算机科学与技术、软件工程、网络工程、物联网工程、数字媒体技术等专业全面融入人工智能、大数据、云计算等前沿技术；大数据管理与应用、财务管理、财务会计教育等管理类专业强化与数字、信息技术等，着力培养“金融+信息”复合型人才，为传统企业向数字化企业转型提供人才支撑；视觉传达设计、环境设计等艺术类专业积极融入AI技术，培养“艺术+智慧”复合型人才。</w:t>
      </w:r>
    </w:p>
    <w:p w14:paraId="2FFE8A61">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default" w:ascii="仿宋_GB2312" w:hAnsi="仿宋_GB2312" w:eastAsia="仿宋_GB2312" w:cs="仿宋_GB2312"/>
          <w:b/>
          <w:spacing w:val="-8"/>
          <w:sz w:val="32"/>
          <w:szCs w:val="32"/>
          <w:lang w:val="en-US" w:eastAsia="zh-CN"/>
        </w:rPr>
      </w:pPr>
      <w:r>
        <w:rPr>
          <w:rFonts w:hint="eastAsia" w:ascii="仿宋_GB2312" w:hAnsi="仿宋_GB2312" w:eastAsia="仿宋_GB2312" w:cs="仿宋_GB2312"/>
          <w:b/>
          <w:spacing w:val="-8"/>
          <w:sz w:val="32"/>
          <w:szCs w:val="32"/>
          <w:lang w:val="en-US" w:eastAsia="zh-CN"/>
        </w:rPr>
        <w:t>（二）人才培养条件</w:t>
      </w:r>
    </w:p>
    <w:p w14:paraId="1C6F689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1.专业师资建设</w:t>
      </w:r>
    </w:p>
    <w:p w14:paraId="2698014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大力实施人才强校战略，不断强化师资队伍建设，师资队伍数量和结构呈现出良好发展态势，生师比合理。具有博士学位的教师占比逐年提高，学科带头人数量逐年递增，学位、职称、学缘、年龄结构日趋合理。学校按照“统筹兼顾、保障重点、强化绩效”的原则，在教育经费中优先保障教学经费投入，占比保持逐年增长。紧紧围绕办学目标和人才培养中心任务，统筹兼顾，突出重点，改革分配办法，改善分配结构，改变分配机制，充分发挥了教学经费的激励和导向作用。</w:t>
      </w:r>
    </w:p>
    <w:p w14:paraId="555463A7">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2.教学基本设施</w:t>
      </w:r>
    </w:p>
    <w:p w14:paraId="37A7D48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学校教学设施齐全，有效满足教学基本要求。占地面积</w:t>
      </w:r>
      <w:r>
        <w:rPr>
          <w:rFonts w:hint="eastAsia" w:ascii="仿宋_GB2312" w:hAnsi="仿宋_GB2312" w:eastAsia="仿宋_GB2312" w:cs="仿宋_GB2312"/>
          <w:spacing w:val="-8"/>
          <w:sz w:val="32"/>
          <w:szCs w:val="32"/>
          <w:lang w:val="en-US" w:eastAsia="zh-CN"/>
        </w:rPr>
        <w:t>162.13万平方米，</w:t>
      </w:r>
      <w:r>
        <w:rPr>
          <w:rFonts w:hint="eastAsia" w:ascii="仿宋_GB2312" w:hAnsi="仿宋_GB2312" w:eastAsia="仿宋_GB2312" w:cs="仿宋_GB2312"/>
          <w:spacing w:val="-8"/>
          <w:sz w:val="32"/>
          <w:szCs w:val="32"/>
          <w:lang w:val="en-US" w:eastAsia="zh-CN"/>
        </w:rPr>
        <w:t>生均124.78平方米；教学行政用房面积</w:t>
      </w:r>
      <w:r>
        <w:rPr>
          <w:rFonts w:hint="eastAsia" w:ascii="仿宋_GB2312" w:hAnsi="仿宋_GB2312" w:eastAsia="仿宋_GB2312" w:cs="仿宋_GB2312"/>
          <w:spacing w:val="-8"/>
          <w:sz w:val="32"/>
          <w:szCs w:val="32"/>
          <w:lang w:val="en-US" w:eastAsia="zh-CN"/>
        </w:rPr>
        <w:t>27.72余万平方米，生均</w:t>
      </w:r>
      <w:r>
        <w:rPr>
          <w:rFonts w:hint="eastAsia" w:ascii="仿宋_GB2312" w:hAnsi="仿宋_GB2312" w:eastAsia="仿宋_GB2312" w:cs="仿宋_GB2312"/>
          <w:spacing w:val="-8"/>
          <w:sz w:val="32"/>
          <w:szCs w:val="32"/>
          <w:lang w:val="en-US" w:eastAsia="zh-CN"/>
        </w:rPr>
        <w:t>21.33平方米。</w:t>
      </w:r>
      <w:r>
        <w:rPr>
          <w:rFonts w:hint="default" w:ascii="仿宋_GB2312" w:hAnsi="仿宋_GB2312" w:eastAsia="仿宋_GB2312" w:cs="仿宋_GB2312"/>
          <w:spacing w:val="-8"/>
          <w:sz w:val="32"/>
          <w:szCs w:val="32"/>
          <w:lang w:val="en-US" w:eastAsia="zh-CN"/>
        </w:rPr>
        <w:t>室内</w:t>
      </w:r>
      <w:r>
        <w:rPr>
          <w:rFonts w:hint="eastAsia" w:ascii="仿宋_GB2312" w:hAnsi="仿宋_GB2312" w:eastAsia="仿宋_GB2312" w:cs="仿宋_GB2312"/>
          <w:spacing w:val="-8"/>
          <w:sz w:val="32"/>
          <w:szCs w:val="32"/>
          <w:lang w:val="en-US" w:eastAsia="zh-CN"/>
        </w:rPr>
        <w:t>外</w:t>
      </w:r>
      <w:r>
        <w:rPr>
          <w:rFonts w:hint="default" w:ascii="仿宋_GB2312" w:hAnsi="仿宋_GB2312" w:eastAsia="仿宋_GB2312" w:cs="仿宋_GB2312"/>
          <w:spacing w:val="-8"/>
          <w:sz w:val="32"/>
          <w:szCs w:val="32"/>
          <w:lang w:val="en-US" w:eastAsia="zh-CN"/>
        </w:rPr>
        <w:t>运动场馆和场地总面积10.</w:t>
      </w:r>
      <w:r>
        <w:rPr>
          <w:rFonts w:hint="eastAsia" w:ascii="仿宋_GB2312" w:hAnsi="仿宋_GB2312" w:eastAsia="仿宋_GB2312" w:cs="仿宋_GB2312"/>
          <w:spacing w:val="-8"/>
          <w:sz w:val="32"/>
          <w:szCs w:val="32"/>
          <w:lang w:val="en-US" w:eastAsia="zh-CN"/>
        </w:rPr>
        <w:t>77</w:t>
      </w:r>
      <w:r>
        <w:rPr>
          <w:rFonts w:hint="default" w:ascii="仿宋_GB2312" w:hAnsi="仿宋_GB2312" w:eastAsia="仿宋_GB2312" w:cs="仿宋_GB2312"/>
          <w:spacing w:val="-8"/>
          <w:sz w:val="32"/>
          <w:szCs w:val="32"/>
          <w:lang w:val="en-US" w:eastAsia="zh-CN"/>
        </w:rPr>
        <w:t>万平方米</w:t>
      </w:r>
      <w:r>
        <w:rPr>
          <w:rFonts w:hint="eastAsia" w:ascii="仿宋_GB2312" w:hAnsi="仿宋_GB2312" w:eastAsia="仿宋_GB2312" w:cs="仿宋_GB2312"/>
          <w:spacing w:val="-8"/>
          <w:sz w:val="32"/>
          <w:szCs w:val="32"/>
          <w:lang w:val="en-US" w:eastAsia="zh-CN"/>
        </w:rPr>
        <w:t>。</w:t>
      </w:r>
    </w:p>
    <w:p w14:paraId="4CF40F41">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3.教学资源。引进超星尔雅网络课程平台和泛雅SPOC课程平台，以一流课程建设为牵引，加强线上课程资源建设。截至目前，50%以上的课程开展了线上资源建设。</w:t>
      </w:r>
    </w:p>
    <w:p w14:paraId="57152A8E">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4.实验室建设</w:t>
      </w:r>
    </w:p>
    <w:p w14:paraId="5B671736">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学校围绕体制与管理、实验教学、实验教材、实验人员、仪器设备、环境与设施等六个方面的工作。建成了三电中心、数智中心、京实实训中心、师范教育中心、语音训练中心等实验实训中心及康体人文产业学院等平台，教学科研用仪器设备7100余万元，生均实验仪器设备值0.58万余元，较好地满足了应用型人才培养的需要。</w:t>
      </w:r>
    </w:p>
    <w:p w14:paraId="1A21633A">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5.实习实训基地。结合共建特色产业学院和专业，把企业引进来，共建了集实践教学、科技服务、人员培训与大学生就业于一体的校外实习实训基地，现有校内外实习、实训基地86个，切实满足了应用型人才培养需要。</w:t>
      </w:r>
    </w:p>
    <w:p w14:paraId="71B0E51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default" w:ascii="仿宋_GB2312" w:hAnsi="仿宋_GB2312" w:eastAsia="仿宋_GB2312" w:cs="仿宋_GB2312"/>
          <w:b/>
          <w:spacing w:val="-8"/>
          <w:sz w:val="32"/>
          <w:szCs w:val="32"/>
          <w:lang w:val="en-US" w:eastAsia="zh-CN"/>
        </w:rPr>
      </w:pPr>
      <w:r>
        <w:rPr>
          <w:rFonts w:hint="eastAsia" w:ascii="仿宋_GB2312" w:hAnsi="仿宋_GB2312" w:eastAsia="仿宋_GB2312" w:cs="仿宋_GB2312"/>
          <w:b/>
          <w:spacing w:val="-8"/>
          <w:sz w:val="32"/>
          <w:szCs w:val="32"/>
          <w:lang w:val="en-US" w:eastAsia="zh-CN"/>
        </w:rPr>
        <w:t>（三）学风建设</w:t>
      </w:r>
    </w:p>
    <w:p w14:paraId="2F8D1F0C">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eastAsia" w:ascii="仿宋_GB2312" w:hAnsi="仿宋_GB2312" w:eastAsia="仿宋_GB2312" w:cs="仿宋_GB2312"/>
          <w:bCs/>
          <w:kern w:val="2"/>
          <w:sz w:val="32"/>
          <w:szCs w:val="32"/>
          <w:lang w:val="en-US" w:eastAsia="zh-CN" w:bidi="ar-SA"/>
        </w:rPr>
      </w:pPr>
      <w:r>
        <w:rPr>
          <w:rFonts w:hint="default" w:ascii="仿宋_GB2312" w:hAnsi="仿宋_GB2312" w:eastAsia="仿宋_GB2312" w:cs="仿宋_GB2312"/>
          <w:bCs/>
          <w:kern w:val="2"/>
          <w:sz w:val="32"/>
          <w:szCs w:val="32"/>
          <w:lang w:val="en-US" w:eastAsia="zh-CN" w:bidi="ar-SA"/>
        </w:rPr>
        <w:t>学校严格落实以生为本的思想，贯彻“教书育人，管理育人，服务育人”的理念，实现教书与育人相融合，教学管理与学生管理相统一，正面奖励与反面惩戒相配合，用教风带学风，以考风促学风，全员、全程、全方位地开展学风管理。开展了教师评学活动，全校所有任课教师对所担任的教学班学风问题从12个方面展开评价，形成了学风评价报告；推进实施</w:t>
      </w:r>
      <w:r>
        <w:rPr>
          <w:rFonts w:hint="eastAsia" w:ascii="仿宋_GB2312" w:hAnsi="仿宋_GB2312" w:eastAsia="仿宋_GB2312" w:cs="仿宋_GB2312"/>
          <w:bCs/>
          <w:kern w:val="2"/>
          <w:sz w:val="32"/>
          <w:szCs w:val="32"/>
          <w:lang w:val="en-US" w:eastAsia="zh-CN" w:bidi="ar-SA"/>
        </w:rPr>
        <w:t>“俱乐部制”为重点的特长化体育改革、以“琴棋书画”为重点的书院制美育教育、“茶花香巧”为重点的工坊式劳动教育和“赛创研培”为重点的一体化创新创业教育。</w:t>
      </w:r>
    </w:p>
    <w:p w14:paraId="09F01DD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default" w:ascii="仿宋_GB2312" w:hAnsi="仿宋_GB2312" w:eastAsia="仿宋_GB2312" w:cs="仿宋_GB2312"/>
          <w:b/>
          <w:spacing w:val="-8"/>
          <w:sz w:val="32"/>
          <w:szCs w:val="32"/>
          <w:lang w:val="en-US" w:eastAsia="zh-CN"/>
        </w:rPr>
      </w:pPr>
      <w:r>
        <w:rPr>
          <w:rFonts w:hint="default" w:ascii="仿宋_GB2312" w:hAnsi="仿宋_GB2312" w:eastAsia="仿宋_GB2312" w:cs="仿宋_GB2312"/>
          <w:b/>
          <w:spacing w:val="-8"/>
          <w:sz w:val="32"/>
          <w:szCs w:val="32"/>
          <w:lang w:val="en-US" w:eastAsia="zh-CN"/>
        </w:rPr>
        <w:t>（四）专业人才培养</w:t>
      </w:r>
    </w:p>
    <w:p w14:paraId="6AA812BC">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default" w:ascii="仿宋_GB2312" w:hAnsi="仿宋_GB2312" w:eastAsia="仿宋_GB2312" w:cs="仿宋_GB2312"/>
          <w:bCs/>
          <w:kern w:val="2"/>
          <w:sz w:val="32"/>
          <w:szCs w:val="32"/>
          <w:lang w:val="en-US" w:eastAsia="zh-CN" w:bidi="ar-SA"/>
        </w:rPr>
      </w:pPr>
      <w:r>
        <w:rPr>
          <w:rFonts w:hint="default" w:ascii="仿宋_GB2312" w:hAnsi="仿宋_GB2312" w:eastAsia="仿宋_GB2312" w:cs="仿宋_GB2312"/>
          <w:bCs/>
          <w:kern w:val="2"/>
          <w:sz w:val="32"/>
          <w:szCs w:val="32"/>
          <w:lang w:val="en-US" w:eastAsia="zh-CN" w:bidi="ar-SA"/>
        </w:rPr>
        <w:t>1.落实立德树人根本任务</w:t>
      </w:r>
    </w:p>
    <w:p w14:paraId="44DAEA07">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default" w:ascii="仿宋_GB2312" w:hAnsi="仿宋_GB2312" w:eastAsia="仿宋_GB2312" w:cs="仿宋_GB2312"/>
          <w:bCs/>
          <w:kern w:val="2"/>
          <w:sz w:val="32"/>
          <w:szCs w:val="32"/>
          <w:lang w:val="en-US" w:eastAsia="zh-CN" w:bidi="ar-SA"/>
        </w:rPr>
      </w:pPr>
      <w:r>
        <w:rPr>
          <w:rFonts w:hint="default" w:ascii="仿宋_GB2312" w:hAnsi="仿宋_GB2312" w:eastAsia="仿宋_GB2312" w:cs="仿宋_GB2312"/>
          <w:bCs/>
          <w:kern w:val="2"/>
          <w:sz w:val="32"/>
          <w:szCs w:val="32"/>
          <w:lang w:val="en-US" w:eastAsia="zh-CN" w:bidi="ar-SA"/>
        </w:rPr>
        <w:t>构建师德师风长效工作机制。不断加强对教师队伍的师德教育，建立教育、宣传、监督、考核与奖惩相结合的师德师风建设长效机制。引导广大教师以德立身、以德立学、以德施教、以德育德，将思想政治教育融入其他课程的教学中，使其他各门课都能守好一段渠、种好责任田，保证各类课程与思想政治理论课同向同行，形成协同效应。严格师德师风教育监督机制。对新入职教师、引进人才的思想政治、品德学风进行严格把关。建立全方位立体化的师德师风监督体系，在各类评选、评聘中实施师德失范行为“一票否决”。</w:t>
      </w:r>
    </w:p>
    <w:p w14:paraId="0DED44E9">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default" w:ascii="仿宋_GB2312" w:hAnsi="仿宋_GB2312" w:eastAsia="仿宋_GB2312" w:cs="仿宋_GB2312"/>
          <w:bCs/>
          <w:kern w:val="2"/>
          <w:sz w:val="32"/>
          <w:szCs w:val="32"/>
          <w:lang w:val="en-US" w:eastAsia="zh-CN" w:bidi="ar-SA"/>
        </w:rPr>
      </w:pPr>
      <w:r>
        <w:rPr>
          <w:rFonts w:hint="default" w:ascii="仿宋_GB2312" w:hAnsi="仿宋_GB2312" w:eastAsia="仿宋_GB2312" w:cs="仿宋_GB2312"/>
          <w:bCs/>
          <w:kern w:val="2"/>
          <w:sz w:val="32"/>
          <w:szCs w:val="32"/>
          <w:lang w:val="en-US" w:eastAsia="zh-CN" w:bidi="ar-SA"/>
        </w:rPr>
        <w:t>2.教授授课情况</w:t>
      </w:r>
    </w:p>
    <w:p w14:paraId="5C68DF57">
      <w:pPr>
        <w:pStyle w:val="5"/>
        <w:keepNext w:val="0"/>
        <w:keepLines w:val="0"/>
        <w:pageBreakBefore w:val="0"/>
        <w:widowControl w:val="0"/>
        <w:kinsoku/>
        <w:wordWrap/>
        <w:overflowPunct/>
        <w:topLinePunct w:val="0"/>
        <w:autoSpaceDE/>
        <w:autoSpaceDN/>
        <w:bidi w:val="0"/>
        <w:spacing w:after="0" w:afterAutospacing="0" w:line="560" w:lineRule="exact"/>
        <w:ind w:firstLine="640" w:firstLineChars="200"/>
        <w:textAlignment w:val="auto"/>
        <w:rPr>
          <w:rFonts w:hint="default" w:ascii="仿宋_GB2312" w:hAnsi="仿宋_GB2312" w:eastAsia="仿宋_GB2312" w:cs="仿宋_GB2312"/>
          <w:bCs/>
          <w:kern w:val="2"/>
          <w:sz w:val="32"/>
          <w:szCs w:val="32"/>
          <w:lang w:val="en-US" w:eastAsia="zh-CN" w:bidi="ar-SA"/>
        </w:rPr>
      </w:pPr>
      <w:r>
        <w:rPr>
          <w:rFonts w:hint="default" w:ascii="仿宋_GB2312" w:hAnsi="仿宋_GB2312" w:eastAsia="仿宋_GB2312" w:cs="仿宋_GB2312"/>
          <w:bCs/>
          <w:kern w:val="2"/>
          <w:sz w:val="32"/>
          <w:szCs w:val="32"/>
          <w:lang w:val="en-US" w:eastAsia="zh-CN" w:bidi="ar-SA"/>
        </w:rPr>
        <w:t>学校将教授为本科生上课的数量和质量均纳入院系党政工作要点，从而突出“以本为本”，推进“四个回归”，把本科教育放在人才培养的核心地位。202</w:t>
      </w:r>
      <w:r>
        <w:rPr>
          <w:rFonts w:hint="eastAsia" w:ascii="仿宋_GB2312" w:hAnsi="仿宋_GB2312" w:eastAsia="仿宋_GB2312" w:cs="仿宋_GB2312"/>
          <w:bCs/>
          <w:kern w:val="2"/>
          <w:sz w:val="32"/>
          <w:szCs w:val="32"/>
          <w:lang w:val="en-US" w:eastAsia="zh-CN" w:bidi="ar-SA"/>
        </w:rPr>
        <w:t>4</w:t>
      </w:r>
      <w:r>
        <w:rPr>
          <w:rFonts w:hint="default" w:ascii="仿宋_GB2312" w:hAnsi="仿宋_GB2312" w:eastAsia="仿宋_GB2312" w:cs="仿宋_GB2312"/>
          <w:bCs/>
          <w:kern w:val="2"/>
          <w:sz w:val="32"/>
          <w:szCs w:val="32"/>
          <w:lang w:val="en-US" w:eastAsia="zh-CN" w:bidi="ar-SA"/>
        </w:rPr>
        <w:t>-202</w:t>
      </w:r>
      <w:r>
        <w:rPr>
          <w:rFonts w:hint="eastAsia" w:ascii="仿宋_GB2312" w:hAnsi="仿宋_GB2312" w:eastAsia="仿宋_GB2312" w:cs="仿宋_GB2312"/>
          <w:bCs/>
          <w:kern w:val="2"/>
          <w:sz w:val="32"/>
          <w:szCs w:val="32"/>
          <w:lang w:val="en-US" w:eastAsia="zh-CN" w:bidi="ar-SA"/>
        </w:rPr>
        <w:t>5</w:t>
      </w:r>
      <w:r>
        <w:rPr>
          <w:rFonts w:hint="default" w:ascii="仿宋_GB2312" w:hAnsi="仿宋_GB2312" w:eastAsia="仿宋_GB2312" w:cs="仿宋_GB2312"/>
          <w:bCs/>
          <w:kern w:val="2"/>
          <w:sz w:val="32"/>
          <w:szCs w:val="32"/>
          <w:lang w:val="en-US" w:eastAsia="zh-CN" w:bidi="ar-SA"/>
        </w:rPr>
        <w:t>学年，主讲本科课程的教授占教授总数的9</w:t>
      </w:r>
      <w:r>
        <w:rPr>
          <w:rFonts w:hint="eastAsia" w:ascii="仿宋_GB2312" w:hAnsi="仿宋_GB2312" w:eastAsia="仿宋_GB2312" w:cs="仿宋_GB2312"/>
          <w:bCs/>
          <w:kern w:val="2"/>
          <w:sz w:val="32"/>
          <w:szCs w:val="32"/>
          <w:lang w:val="en-US" w:eastAsia="zh-CN" w:bidi="ar-SA"/>
        </w:rPr>
        <w:t>2</w:t>
      </w:r>
      <w:r>
        <w:rPr>
          <w:rFonts w:hint="default" w:ascii="仿宋_GB2312" w:hAnsi="仿宋_GB2312" w:eastAsia="仿宋_GB2312" w:cs="仿宋_GB2312"/>
          <w:bCs/>
          <w:kern w:val="2"/>
          <w:sz w:val="32"/>
          <w:szCs w:val="32"/>
          <w:lang w:val="en-US" w:eastAsia="zh-CN" w:bidi="ar-SA"/>
        </w:rPr>
        <w:t>.</w:t>
      </w:r>
      <w:r>
        <w:rPr>
          <w:rFonts w:hint="eastAsia" w:ascii="仿宋_GB2312" w:hAnsi="仿宋_GB2312" w:eastAsia="仿宋_GB2312" w:cs="仿宋_GB2312"/>
          <w:bCs/>
          <w:kern w:val="2"/>
          <w:sz w:val="32"/>
          <w:szCs w:val="32"/>
          <w:lang w:val="en-US" w:eastAsia="zh-CN" w:bidi="ar-SA"/>
        </w:rPr>
        <w:t>86</w:t>
      </w:r>
      <w:r>
        <w:rPr>
          <w:rFonts w:hint="default" w:ascii="仿宋_GB2312" w:hAnsi="仿宋_GB2312" w:eastAsia="仿宋_GB2312" w:cs="仿宋_GB2312"/>
          <w:bCs/>
          <w:kern w:val="2"/>
          <w:sz w:val="32"/>
          <w:szCs w:val="32"/>
          <w:lang w:val="en-US" w:eastAsia="zh-CN" w:bidi="ar-SA"/>
        </w:rPr>
        <w:t>%</w:t>
      </w:r>
      <w:r>
        <w:rPr>
          <w:rFonts w:hint="eastAsia" w:ascii="仿宋_GB2312" w:hAnsi="仿宋_GB2312" w:eastAsia="仿宋_GB2312" w:cs="仿宋_GB2312"/>
          <w:bCs/>
          <w:kern w:val="2"/>
          <w:sz w:val="32"/>
          <w:szCs w:val="32"/>
          <w:lang w:val="en-US" w:eastAsia="zh-CN" w:bidi="ar-SA"/>
        </w:rPr>
        <w:t>，</w:t>
      </w:r>
      <w:r>
        <w:rPr>
          <w:rFonts w:hint="default" w:ascii="仿宋_GB2312" w:hAnsi="仿宋_GB2312" w:eastAsia="仿宋_GB2312" w:cs="仿宋_GB2312"/>
          <w:bCs/>
          <w:kern w:val="2"/>
          <w:sz w:val="32"/>
          <w:szCs w:val="32"/>
          <w:lang w:val="en-US" w:eastAsia="zh-CN" w:bidi="ar-SA"/>
        </w:rPr>
        <w:t>教授主讲本科课程人均78.77学时。</w:t>
      </w:r>
    </w:p>
    <w:p w14:paraId="5B87D3A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楷体" w:hAnsi="楷体" w:eastAsia="楷体" w:cs="楷体"/>
          <w:b/>
          <w:spacing w:val="-8"/>
          <w:sz w:val="32"/>
          <w:szCs w:val="32"/>
        </w:rPr>
        <w:t>五、质量保障体系</w:t>
      </w:r>
    </w:p>
    <w:p w14:paraId="1B5705C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一）</w:t>
      </w:r>
      <w:r>
        <w:rPr>
          <w:rFonts w:hint="eastAsia" w:ascii="仿宋_GB2312" w:hAnsi="仿宋_GB2312" w:eastAsia="仿宋_GB2312" w:cs="仿宋_GB2312"/>
          <w:b/>
          <w:spacing w:val="-8"/>
          <w:sz w:val="32"/>
          <w:szCs w:val="32"/>
        </w:rPr>
        <w:t>人才培养中心地位</w:t>
      </w:r>
    </w:p>
    <w:p w14:paraId="2CBD8F8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val="en-US" w:eastAsia="zh-CN"/>
        </w:rPr>
        <w:t>1.</w:t>
      </w:r>
      <w:r>
        <w:rPr>
          <w:rFonts w:hint="eastAsia" w:ascii="仿宋_GB2312" w:hAnsi="仿宋_GB2312" w:eastAsia="仿宋_GB2312" w:cs="仿宋_GB2312"/>
          <w:spacing w:val="-8"/>
          <w:sz w:val="32"/>
          <w:szCs w:val="32"/>
        </w:rPr>
        <w:t>思想重视，牢固树立人才培养是学校的根本使命</w:t>
      </w:r>
    </w:p>
    <w:p w14:paraId="6BBB32A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学校始终坚持把立德树人作为根本任务，把人才培养放在一切工作的首位。全校上下通过广泛宣传，牢固确立了人才培养在各项工作中的中心地位，以此来统领学校一切的改革发展。学校各级领导重视教育教学工作，全校上下始终围绕“培养什么人、怎样培养人”这一根本问题配置资源和科学运营，逐步形成学科支撑人才培养、科研反哺人才培养、管理服务人才培养、后勤保障人才培养的优良局面。</w:t>
      </w:r>
    </w:p>
    <w:p w14:paraId="60873A3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2.健全机制，切实保障各级领导深入研究教学</w:t>
      </w:r>
    </w:p>
    <w:p w14:paraId="3A6CDA4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坚决贯彻落实教学质量责任制，实行教学考核一票否决制，从制度层面明确“学院党政一把手是教学质量第一责任人、教学副院长是直接责任人”，把“让学生享受更加优质的教育”作为办学目标，构建“教书育人、管理育人、服务育人”并举的“三育人”教育机制，为学生健康成长和顺利成才营造良好的教育环境。“领导重视教学、制度保障教学、经费优先教学、科研促进教学、舆论关注教学”的机制和氛围已经形成。学校坚持实行各级领导听课制度，每学期校领导均会深入本科生课堂，认真听取教师的授课情况，了解教师的教学水平和课堂教学动态,与学生进行沟通交流，了解学生的学习状态。同时，在职称评聘、绩效奖励等方面，加大对教学质量优秀的教师倾斜力度，用政策引导教师向教学投入。</w:t>
      </w:r>
    </w:p>
    <w:p w14:paraId="3B4871D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val="en-US" w:eastAsia="zh-CN"/>
        </w:rPr>
        <w:t>3.</w:t>
      </w:r>
      <w:r>
        <w:rPr>
          <w:rFonts w:hint="eastAsia" w:ascii="仿宋_GB2312" w:hAnsi="仿宋_GB2312" w:eastAsia="仿宋_GB2312" w:cs="仿宋_GB2312"/>
          <w:spacing w:val="-8"/>
          <w:sz w:val="32"/>
          <w:szCs w:val="32"/>
        </w:rPr>
        <w:t>政策引导，激励教师将主要精力投入教学工作</w:t>
      </w:r>
    </w:p>
    <w:p w14:paraId="705AA4D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val="en-US" w:eastAsia="zh-CN"/>
        </w:rPr>
        <w:t>优化完善</w:t>
      </w:r>
      <w:r>
        <w:rPr>
          <w:rFonts w:hint="eastAsia" w:ascii="仿宋_GB2312" w:hAnsi="仿宋_GB2312" w:eastAsia="仿宋_GB2312" w:cs="仿宋_GB2312"/>
          <w:spacing w:val="-8"/>
          <w:sz w:val="32"/>
          <w:szCs w:val="32"/>
        </w:rPr>
        <w:t>激励政策</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rPr>
        <w:t>引导教师把主要精力投入本科教学工作中，积极参加教学建设与改革。一是学校将教学工作质量与效果纳入对各教学单位评估和考核指标体系中，设立教学单位综合奖和学生就业率、四六级通过率、考研率和学生课外科技成果单项奖。二是重新制定教学工作量计算办法，统筹理论教学、实践教学、教学建设、教学奖励、指导学生活动等工作量。三是学校每年开展教学创新比赛、青年教师比赛、课程思政比赛等，将比赛纳入职称评聘指标体系，引导教师更加重视教学工作和教学投入。</w:t>
      </w:r>
    </w:p>
    <w:p w14:paraId="4285E3D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二）</w:t>
      </w:r>
      <w:r>
        <w:rPr>
          <w:rFonts w:hint="eastAsia" w:ascii="仿宋_GB2312" w:hAnsi="仿宋_GB2312" w:eastAsia="仿宋_GB2312" w:cs="仿宋_GB2312"/>
          <w:b/>
          <w:spacing w:val="-8"/>
          <w:sz w:val="32"/>
          <w:szCs w:val="32"/>
        </w:rPr>
        <w:t>教学质量保障体系</w:t>
      </w:r>
    </w:p>
    <w:p w14:paraId="21328AC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7" w:name="_Toc26381"/>
      <w:bookmarkStart w:id="8" w:name="_Toc32339"/>
      <w:r>
        <w:rPr>
          <w:rFonts w:hint="eastAsia" w:ascii="仿宋_GB2312" w:hAnsi="仿宋_GB2312" w:eastAsia="仿宋_GB2312" w:cs="仿宋_GB2312"/>
          <w:spacing w:val="-8"/>
          <w:sz w:val="32"/>
          <w:szCs w:val="32"/>
          <w:lang w:val="en-US" w:eastAsia="zh-CN"/>
        </w:rPr>
        <w:t>1.加强教学质量管理与组织建设</w:t>
      </w:r>
    </w:p>
    <w:p w14:paraId="4E611A6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实行校、院、系/室三级教学管理制度，校级（校长—分管副校长—教务处）职责突出目标管理、重在决策监督，院级（院长—分管副院长—教研室）职责突出过程管理和组织落实，教学管理重心进一步下移。学校设有健全的质量监控组织机构，由教务处、学术委员会、学位评定委员会、教学督导组、学生教学信息员等组织协力，确保质量监控的有效进行。教务处下设教学运行办公室、质量管理办公室、实践教学办公室、学籍学位办公室、教学信息化办公室、招生办公室，其管理监控职能有效覆盖了各主要教学环节和教学活动。学校在开展专业建设、人才培养方案制（修）订、教学大纲制（修）订、本科专业教育评估、新专业检查、课程建设、课堂教学质量评估、教学事故认定、教学标兵评选、青年教师教学能力培养、教师教学竞赛、学期教学检查、实习检查、教学基地检查、毕业设计（论文）专项检查与评估、考试试卷专项评估、优秀毕业设计（论文）评选等工作中，坚持实行全方位的严格的质量监控。学校学术委员会负责对学校重大教改方案、教学优秀奖、教学成果奖、教育教学研究立项、教材建设立项等推荐与审批，尤其注重教学质量标准的审定及执行情况的考评；学校学位评定委员会严格审核学生的学位授予资格；校教学督导组其督导范围包括教学运行管理、教风学风建设、教师教学能力帮扶、课堂教学、实践教学、毕业设计（论文）工作、考试环节等。学校其他行政部门和教辅单位坚持以人才培养为中心，自觉服从服务教学工作，在各个方面发挥了保障教学质量的作用。</w:t>
      </w:r>
    </w:p>
    <w:p w14:paraId="4328F55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2.打造内外双循环质量监控体系</w:t>
      </w:r>
    </w:p>
    <w:p w14:paraId="6BF6158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9" w:name="_Toc31016"/>
      <w:bookmarkStart w:id="10" w:name="_Toc3441"/>
      <w:r>
        <w:rPr>
          <w:rFonts w:hint="eastAsia" w:ascii="仿宋_GB2312" w:hAnsi="仿宋_GB2312" w:eastAsia="仿宋_GB2312" w:cs="仿宋_GB2312"/>
          <w:spacing w:val="-8"/>
          <w:sz w:val="32"/>
          <w:szCs w:val="32"/>
          <w:lang w:val="en-US" w:eastAsia="zh-CN"/>
        </w:rPr>
        <w:t>学校秉承学生发展中心理念，围绕学习效果配置资源，</w:t>
      </w:r>
      <w:r>
        <w:rPr>
          <w:rFonts w:hint="default" w:ascii="仿宋_GB2312" w:hAnsi="仿宋_GB2312" w:eastAsia="仿宋_GB2312" w:cs="仿宋_GB2312"/>
          <w:spacing w:val="-8"/>
          <w:sz w:val="32"/>
          <w:szCs w:val="32"/>
          <w:lang w:val="en-US" w:eastAsia="zh-CN"/>
        </w:rPr>
        <w:t>构建“质量保障</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质量标准</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质量监控</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质量评价</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质量反馈</w:t>
      </w:r>
      <w:r>
        <w:rPr>
          <w:rFonts w:hint="eastAsia" w:ascii="仿宋_GB2312" w:hAnsi="仿宋_GB2312" w:eastAsia="仿宋_GB2312" w:cs="仿宋_GB2312"/>
          <w:spacing w:val="-8"/>
          <w:sz w:val="32"/>
          <w:szCs w:val="32"/>
          <w:lang w:val="en-US" w:eastAsia="zh-CN"/>
        </w:rPr>
        <w:t>－</w:t>
      </w:r>
      <w:r>
        <w:rPr>
          <w:rFonts w:hint="default" w:ascii="仿宋_GB2312" w:hAnsi="仿宋_GB2312" w:eastAsia="仿宋_GB2312" w:cs="仿宋_GB2312"/>
          <w:spacing w:val="-8"/>
          <w:sz w:val="32"/>
          <w:szCs w:val="32"/>
          <w:lang w:val="en-US" w:eastAsia="zh-CN"/>
        </w:rPr>
        <w:t>质量改进”闭环持续改进机制</w:t>
      </w:r>
      <w:r>
        <w:rPr>
          <w:rFonts w:hint="eastAsia" w:ascii="仿宋_GB2312" w:hAnsi="仿宋_GB2312" w:eastAsia="仿宋_GB2312" w:cs="仿宋_GB2312"/>
          <w:spacing w:val="-8"/>
          <w:sz w:val="32"/>
          <w:szCs w:val="32"/>
          <w:lang w:val="en-US" w:eastAsia="zh-CN"/>
        </w:rPr>
        <w:t>，推动教育教学改革，建立长效自律机制，不断提升办学与教学质量。</w:t>
      </w:r>
      <w:bookmarkEnd w:id="9"/>
      <w:bookmarkEnd w:id="10"/>
      <w:r>
        <w:rPr>
          <w:rFonts w:hint="eastAsia" w:ascii="仿宋_GB2312" w:hAnsi="仿宋_GB2312" w:eastAsia="仿宋_GB2312" w:cs="仿宋_GB2312"/>
          <w:spacing w:val="-8"/>
          <w:sz w:val="32"/>
          <w:szCs w:val="32"/>
          <w:lang w:val="en-US" w:eastAsia="zh-CN"/>
        </w:rPr>
        <w:t>2024-2025学年，教学督导听课</w:t>
      </w:r>
      <w:r>
        <w:rPr>
          <w:rFonts w:hint="default" w:ascii="仿宋_GB2312" w:hAnsi="仿宋_GB2312" w:eastAsia="仿宋_GB2312" w:cs="仿宋_GB2312"/>
          <w:spacing w:val="-8"/>
          <w:sz w:val="32"/>
          <w:szCs w:val="32"/>
          <w:lang w:val="en-US" w:eastAsia="zh-CN"/>
        </w:rPr>
        <w:t>1120</w:t>
      </w:r>
      <w:r>
        <w:rPr>
          <w:rFonts w:hint="eastAsia" w:ascii="仿宋_GB2312" w:hAnsi="仿宋_GB2312" w:eastAsia="仿宋_GB2312" w:cs="仿宋_GB2312"/>
          <w:spacing w:val="-8"/>
          <w:sz w:val="32"/>
          <w:szCs w:val="32"/>
          <w:lang w:val="en-US" w:eastAsia="zh-CN"/>
        </w:rPr>
        <w:t>课时，校领导听课</w:t>
      </w:r>
      <w:r>
        <w:rPr>
          <w:rFonts w:hint="default" w:ascii="仿宋_GB2312" w:hAnsi="仿宋_GB2312" w:eastAsia="仿宋_GB2312" w:cs="仿宋_GB2312"/>
          <w:spacing w:val="-8"/>
          <w:sz w:val="32"/>
          <w:szCs w:val="32"/>
          <w:lang w:val="en-US" w:eastAsia="zh-CN"/>
        </w:rPr>
        <w:t>110</w:t>
      </w:r>
      <w:r>
        <w:rPr>
          <w:rFonts w:hint="eastAsia" w:ascii="仿宋_GB2312" w:hAnsi="仿宋_GB2312" w:eastAsia="仿宋_GB2312" w:cs="仿宋_GB2312"/>
          <w:spacing w:val="-8"/>
          <w:sz w:val="32"/>
          <w:szCs w:val="32"/>
          <w:lang w:val="en-US" w:eastAsia="zh-CN"/>
        </w:rPr>
        <w:t>课时，中层干部听课</w:t>
      </w:r>
      <w:r>
        <w:rPr>
          <w:rFonts w:hint="default" w:ascii="仿宋_GB2312" w:hAnsi="仿宋_GB2312" w:eastAsia="仿宋_GB2312" w:cs="仿宋_GB2312"/>
          <w:spacing w:val="-8"/>
          <w:sz w:val="32"/>
          <w:szCs w:val="32"/>
          <w:lang w:val="en-US" w:eastAsia="zh-CN"/>
        </w:rPr>
        <w:t>433</w:t>
      </w:r>
      <w:r>
        <w:rPr>
          <w:rFonts w:hint="eastAsia" w:ascii="仿宋_GB2312" w:hAnsi="仿宋_GB2312" w:eastAsia="仿宋_GB2312" w:cs="仿宋_GB2312"/>
          <w:spacing w:val="-8"/>
          <w:sz w:val="32"/>
          <w:szCs w:val="32"/>
          <w:lang w:val="en-US" w:eastAsia="zh-CN"/>
        </w:rPr>
        <w:t>课时，学生评教参与达</w:t>
      </w:r>
      <w:r>
        <w:rPr>
          <w:rFonts w:hint="default" w:ascii="仿宋_GB2312" w:hAnsi="仿宋_GB2312" w:eastAsia="仿宋_GB2312" w:cs="仿宋_GB2312"/>
          <w:spacing w:val="-8"/>
          <w:sz w:val="32"/>
          <w:szCs w:val="32"/>
          <w:lang w:val="en-US" w:eastAsia="zh-CN"/>
        </w:rPr>
        <w:t>150402</w:t>
      </w:r>
      <w:r>
        <w:rPr>
          <w:rFonts w:hint="eastAsia" w:ascii="仿宋_GB2312" w:hAnsi="仿宋_GB2312" w:eastAsia="仿宋_GB2312" w:cs="仿宋_GB2312"/>
          <w:spacing w:val="-8"/>
          <w:sz w:val="32"/>
          <w:szCs w:val="32"/>
          <w:lang w:val="en-US" w:eastAsia="zh-CN"/>
        </w:rPr>
        <w:t>人次。</w:t>
      </w:r>
    </w:p>
    <w:p w14:paraId="6D40DD5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教学督导组深入一线，全面督查评估教学、管理及学风建设，提供专业指导，规范教学活动，为二级学院和教研室提供数据支持。二级学院督导员则针对专业建设、课程建设、教材选用、实习实训及教师教学等关键环节进行督查评价。通过两级协同，学校教学工作持续改进，管理规范，质量稳步提升。</w:t>
      </w:r>
    </w:p>
    <w:p w14:paraId="38A6785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3.持续完善质量标准体系建设</w:t>
      </w:r>
    </w:p>
    <w:p w14:paraId="2B9A921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学校围绕人才培养目标，不断完善和修订人才培养质量标准，基本覆盖教学过程的各个环节，为教学质量监控和评价提供了明确的依据。</w:t>
      </w:r>
      <w:bookmarkEnd w:id="7"/>
      <w:r>
        <w:rPr>
          <w:rFonts w:hint="eastAsia" w:ascii="仿宋_GB2312" w:hAnsi="仿宋_GB2312" w:eastAsia="仿宋_GB2312" w:cs="仿宋_GB2312"/>
          <w:spacing w:val="-8"/>
          <w:sz w:val="32"/>
          <w:szCs w:val="32"/>
          <w:lang w:val="en-US" w:eastAsia="zh-CN"/>
        </w:rPr>
        <w:t>本年度修订完善教育教学各环节质量标准，现已形成十三个环节的质量标准。</w:t>
      </w:r>
      <w:bookmarkEnd w:id="8"/>
    </w:p>
    <w:p w14:paraId="41E731E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11" w:name="_Toc21707"/>
      <w:bookmarkStart w:id="12" w:name="_Toc15428"/>
      <w:r>
        <w:rPr>
          <w:rFonts w:hint="eastAsia" w:ascii="仿宋_GB2312" w:hAnsi="仿宋_GB2312" w:eastAsia="仿宋_GB2312" w:cs="仿宋_GB2312"/>
          <w:spacing w:val="-8"/>
          <w:sz w:val="32"/>
          <w:szCs w:val="32"/>
          <w:lang w:val="en-US" w:eastAsia="zh-CN"/>
        </w:rPr>
        <w:t>专业建设质量标准。学校以国家本科专业标准和工程教育认证要求为基，突出办学特色，强调专业特色优势，制定专业建设质量标准，明确专业建设 符合学校定位及自身办学条件，完善人才培养方案，更新教学内容，改善实践教 学条件，提高教学效果，形成完整的专业教育体系，培养适应经济发展的应用型本科人才。</w:t>
      </w:r>
      <w:bookmarkEnd w:id="11"/>
      <w:bookmarkEnd w:id="12"/>
    </w:p>
    <w:p w14:paraId="0FF3E14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13" w:name="_Toc3083"/>
      <w:bookmarkStart w:id="14" w:name="_Toc28035"/>
      <w:bookmarkStart w:id="15" w:name="_Toc21663"/>
      <w:r>
        <w:rPr>
          <w:rFonts w:hint="eastAsia" w:ascii="仿宋_GB2312" w:hAnsi="仿宋_GB2312" w:eastAsia="仿宋_GB2312" w:cs="仿宋_GB2312"/>
          <w:spacing w:val="-8"/>
          <w:sz w:val="32"/>
          <w:szCs w:val="32"/>
          <w:lang w:val="en-US" w:eastAsia="zh-CN"/>
        </w:rPr>
        <w:t>课程质量标准。学校依据国家教育方针政策及学科发展趋势，结合学校定位与专业特色，制定本科课程质量标准。该标准强调课程内容的前沿性、实用性与综合性，确保课程结构合理，教学方法创新，教学资源丰富，能够满足学生全面发展与个性化学习的需求，提升学生的专业素养与创新能力。</w:t>
      </w:r>
      <w:bookmarkEnd w:id="13"/>
      <w:bookmarkEnd w:id="14"/>
      <w:bookmarkEnd w:id="15"/>
    </w:p>
    <w:p w14:paraId="304A0DA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16" w:name="_Toc17451"/>
      <w:bookmarkStart w:id="17" w:name="_Toc100"/>
      <w:bookmarkStart w:id="18" w:name="_Toc2157"/>
      <w:r>
        <w:rPr>
          <w:rFonts w:hint="eastAsia" w:ascii="仿宋_GB2312" w:hAnsi="仿宋_GB2312" w:eastAsia="仿宋_GB2312" w:cs="仿宋_GB2312"/>
          <w:spacing w:val="-8"/>
          <w:sz w:val="32"/>
          <w:szCs w:val="32"/>
          <w:lang w:val="en-US" w:eastAsia="zh-CN"/>
        </w:rPr>
        <w:t>课堂教学质量标准。课堂教学质量标准注重教师的教学能力与教学方法，要求教师具备扎实的专业知识与良好的教学技能，能够灵活运用多种教学手段，激发学生的学习兴趣与主动性。同时，强调师生互动与课堂反馈，确保教学质量稳步提升，学生能够在课堂中获得有效的学习体验与成果。</w:t>
      </w:r>
      <w:bookmarkEnd w:id="16"/>
      <w:bookmarkEnd w:id="17"/>
      <w:bookmarkEnd w:id="18"/>
    </w:p>
    <w:p w14:paraId="212F5A6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19" w:name="_Toc25339"/>
      <w:bookmarkStart w:id="20" w:name="_Toc17026"/>
      <w:bookmarkStart w:id="21" w:name="_Toc7213"/>
      <w:r>
        <w:rPr>
          <w:rFonts w:hint="eastAsia" w:ascii="仿宋_GB2312" w:hAnsi="仿宋_GB2312" w:eastAsia="仿宋_GB2312" w:cs="仿宋_GB2312"/>
          <w:spacing w:val="-8"/>
          <w:sz w:val="32"/>
          <w:szCs w:val="32"/>
          <w:lang w:val="en-US" w:eastAsia="zh-CN"/>
        </w:rPr>
        <w:t>实验教学质量标准。实验教学质量标准强调实验教学的实践性与创新性，要求实验设计科学合理，实验设备先进完善，实验指导详细明确。同时，注重培养学生的实验操作技能与问题解决能力，鼓励学生参与实验设计与改进，提升实验教学的效果与质量。</w:t>
      </w:r>
      <w:bookmarkEnd w:id="19"/>
      <w:bookmarkEnd w:id="20"/>
      <w:bookmarkEnd w:id="21"/>
    </w:p>
    <w:p w14:paraId="2A4489E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22" w:name="_Toc3619"/>
      <w:bookmarkStart w:id="23" w:name="_Toc14440"/>
      <w:bookmarkStart w:id="24" w:name="_Toc27"/>
      <w:r>
        <w:rPr>
          <w:rFonts w:hint="eastAsia" w:ascii="仿宋_GB2312" w:hAnsi="仿宋_GB2312" w:eastAsia="仿宋_GB2312" w:cs="仿宋_GB2312"/>
          <w:spacing w:val="-8"/>
          <w:sz w:val="32"/>
          <w:szCs w:val="32"/>
          <w:lang w:val="en-US" w:eastAsia="zh-CN"/>
        </w:rPr>
        <w:t>教学准备质量标准。教学准备质量标准涵盖教学计划的制定、教学大纲的编写、教学资源的准备等方面。要求教学计划明确、合理，教学大纲清晰、全面，教学资源丰富、多样，确保教学工作的有序开展与高效实施。</w:t>
      </w:r>
      <w:bookmarkEnd w:id="22"/>
      <w:bookmarkEnd w:id="23"/>
      <w:bookmarkEnd w:id="24"/>
    </w:p>
    <w:p w14:paraId="61D4FC1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25" w:name="_Toc3702"/>
      <w:bookmarkStart w:id="26" w:name="_Toc17944"/>
      <w:bookmarkStart w:id="27" w:name="_Toc22311"/>
      <w:r>
        <w:rPr>
          <w:rFonts w:hint="eastAsia" w:ascii="仿宋_GB2312" w:hAnsi="仿宋_GB2312" w:eastAsia="仿宋_GB2312" w:cs="仿宋_GB2312"/>
          <w:spacing w:val="-8"/>
          <w:sz w:val="32"/>
          <w:szCs w:val="32"/>
          <w:lang w:val="en-US" w:eastAsia="zh-CN"/>
        </w:rPr>
        <w:t>教材编写质量标准。教材编写质量标准注重教材内容的科学性、实用性与创新性，要求教材内容准确、全面，结构清晰、合理，语言表达简洁、明了。同时，强调教材的编写要符合国家教育方针政策及学科发展趋势，能够满足学生全面发展的需要。</w:t>
      </w:r>
      <w:bookmarkEnd w:id="25"/>
      <w:bookmarkEnd w:id="26"/>
      <w:bookmarkEnd w:id="27"/>
    </w:p>
    <w:p w14:paraId="4F9312C1">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28" w:name="_Toc14460"/>
      <w:bookmarkStart w:id="29" w:name="_Toc16736"/>
      <w:bookmarkStart w:id="30" w:name="_Toc3950"/>
      <w:r>
        <w:rPr>
          <w:rFonts w:hint="eastAsia" w:ascii="仿宋_GB2312" w:hAnsi="仿宋_GB2312" w:eastAsia="仿宋_GB2312" w:cs="仿宋_GB2312"/>
          <w:spacing w:val="-8"/>
          <w:sz w:val="32"/>
          <w:szCs w:val="32"/>
          <w:lang w:val="en-US" w:eastAsia="zh-CN"/>
        </w:rPr>
        <w:t>考试试卷质量标准。考试试卷质量标准要求试卷设计科学合理，试题内容准确、全面，难度适中，区分度高。同时，注重试卷的保密性与公正性，确保考试工作的公平、公正与有效。</w:t>
      </w:r>
      <w:bookmarkEnd w:id="28"/>
      <w:bookmarkEnd w:id="29"/>
      <w:bookmarkEnd w:id="30"/>
    </w:p>
    <w:p w14:paraId="78729ED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31" w:name="_Toc14270"/>
      <w:bookmarkStart w:id="32" w:name="_Toc28812"/>
      <w:bookmarkStart w:id="33" w:name="_Toc10115"/>
      <w:r>
        <w:rPr>
          <w:rFonts w:hint="eastAsia" w:ascii="仿宋_GB2312" w:hAnsi="仿宋_GB2312" w:eastAsia="仿宋_GB2312" w:cs="仿宋_GB2312"/>
          <w:spacing w:val="-8"/>
          <w:sz w:val="32"/>
          <w:szCs w:val="32"/>
          <w:lang w:val="en-US" w:eastAsia="zh-CN"/>
        </w:rPr>
        <w:t>课程设计教学质量标准。课程设计教学质量标准强调课程设计的创新性与实践性，要求课程设计符合学科发展趋势与专业特色，能够提升学生的专业素养与创新能力。同时，注重课程设计的实施效果与反馈，确保课程设计的质量与效果达到预期目标。</w:t>
      </w:r>
      <w:bookmarkEnd w:id="31"/>
      <w:bookmarkEnd w:id="32"/>
      <w:bookmarkEnd w:id="33"/>
    </w:p>
    <w:p w14:paraId="7610B4D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34" w:name="_Toc26356"/>
      <w:bookmarkStart w:id="35" w:name="_Toc13794"/>
      <w:bookmarkStart w:id="36" w:name="_Toc28917"/>
      <w:r>
        <w:rPr>
          <w:rFonts w:hint="eastAsia" w:ascii="仿宋_GB2312" w:hAnsi="仿宋_GB2312" w:eastAsia="仿宋_GB2312" w:cs="仿宋_GB2312"/>
          <w:spacing w:val="-8"/>
          <w:sz w:val="32"/>
          <w:szCs w:val="32"/>
          <w:lang w:val="en-US" w:eastAsia="zh-CN"/>
        </w:rPr>
        <w:t>实习质量标准。实习质量标准要求实习单位具备合法资质与良好条件，实习内容符合专业培养目标与要求，实习指导详细明确。同时，注重培养学生的实践能力与职业素养，确保实习工作的有序开展与高效实施。</w:t>
      </w:r>
      <w:bookmarkEnd w:id="34"/>
      <w:bookmarkEnd w:id="35"/>
      <w:bookmarkEnd w:id="36"/>
    </w:p>
    <w:p w14:paraId="64BFC80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37" w:name="_Toc11646"/>
      <w:bookmarkStart w:id="38" w:name="_Toc8765"/>
      <w:bookmarkStart w:id="39" w:name="_Toc407"/>
      <w:r>
        <w:rPr>
          <w:rFonts w:hint="eastAsia" w:ascii="仿宋_GB2312" w:hAnsi="仿宋_GB2312" w:eastAsia="仿宋_GB2312" w:cs="仿宋_GB2312"/>
          <w:spacing w:val="-8"/>
          <w:sz w:val="32"/>
          <w:szCs w:val="32"/>
          <w:lang w:val="en-US" w:eastAsia="zh-CN"/>
        </w:rPr>
        <w:t>实习成绩评定标准。实习成绩评定标准要求评定过程公正、客观，评定标准明确、合理。同时，注重学生的实习表现与成果，确保实习成绩的准确性与有效性。</w:t>
      </w:r>
      <w:bookmarkEnd w:id="37"/>
      <w:bookmarkEnd w:id="38"/>
      <w:bookmarkEnd w:id="39"/>
    </w:p>
    <w:p w14:paraId="332019F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40" w:name="_Toc23934"/>
      <w:bookmarkStart w:id="41" w:name="_Toc32578"/>
      <w:bookmarkStart w:id="42" w:name="_Toc23372"/>
      <w:r>
        <w:rPr>
          <w:rFonts w:hint="eastAsia" w:ascii="仿宋_GB2312" w:hAnsi="仿宋_GB2312" w:eastAsia="仿宋_GB2312" w:cs="仿宋_GB2312"/>
          <w:spacing w:val="-8"/>
          <w:sz w:val="32"/>
          <w:szCs w:val="32"/>
          <w:lang w:val="en-US" w:eastAsia="zh-CN"/>
        </w:rPr>
        <w:t>毕业论文（设计）质量标准。毕业论文（设计）质量标准要求论文（设计）选题具有创新性与实践性，内容准确、全面，结构清晰、合理，语言表达简洁、明了。同时，注重论文（设计）的学术价值与实用价值，确保毕业论文（设计）的质量与水平达到预期目标。</w:t>
      </w:r>
      <w:bookmarkEnd w:id="40"/>
      <w:bookmarkEnd w:id="41"/>
      <w:bookmarkEnd w:id="42"/>
    </w:p>
    <w:p w14:paraId="365F4A5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43" w:name="_Toc5792"/>
      <w:bookmarkStart w:id="44" w:name="_Toc29147"/>
      <w:bookmarkStart w:id="45" w:name="_Toc10753"/>
      <w:r>
        <w:rPr>
          <w:rFonts w:hint="eastAsia" w:ascii="仿宋_GB2312" w:hAnsi="仿宋_GB2312" w:eastAsia="仿宋_GB2312" w:cs="仿宋_GB2312"/>
          <w:spacing w:val="-8"/>
          <w:sz w:val="32"/>
          <w:szCs w:val="32"/>
          <w:lang w:val="en-US" w:eastAsia="zh-CN"/>
        </w:rPr>
        <w:t>毕业论文（设计）指导质量标准。强调指导教师的专业素养与指导能力，要求指导教师具备扎实的专业知识与丰富的指导经验，能够为学生提供全面、细致的指导与帮助。同时，注重指导过程的规范性与有效性，确保毕业论文（设计）的指导质量。</w:t>
      </w:r>
      <w:bookmarkEnd w:id="43"/>
      <w:bookmarkEnd w:id="44"/>
      <w:bookmarkEnd w:id="45"/>
    </w:p>
    <w:p w14:paraId="65041A4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46" w:name="_Toc24659"/>
      <w:bookmarkStart w:id="47" w:name="_Toc27983"/>
      <w:bookmarkStart w:id="48" w:name="_Toc25079"/>
      <w:r>
        <w:rPr>
          <w:rFonts w:hint="eastAsia" w:ascii="仿宋_GB2312" w:hAnsi="仿宋_GB2312" w:eastAsia="仿宋_GB2312" w:cs="仿宋_GB2312"/>
          <w:spacing w:val="-8"/>
          <w:sz w:val="32"/>
          <w:szCs w:val="32"/>
          <w:lang w:val="en-US" w:eastAsia="zh-CN"/>
        </w:rPr>
        <w:t>本科毕业论文（设计）成绩评定标准。毕业论文（设计）成绩评定标准要求评定过程公正、客观，评定标准明确、合理。同时，注重学生的论文（设计）质量与成果，确保毕业论文（设计）成绩的准确性与有效性。评定过程中要充分考虑学生的创新性与实践能力，鼓励学生积极参与学术研究与实践活动。</w:t>
      </w:r>
      <w:bookmarkEnd w:id="46"/>
      <w:bookmarkEnd w:id="47"/>
      <w:bookmarkEnd w:id="48"/>
    </w:p>
    <w:p w14:paraId="778B33B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三）</w:t>
      </w:r>
      <w:r>
        <w:rPr>
          <w:rFonts w:hint="eastAsia" w:ascii="仿宋_GB2312" w:hAnsi="仿宋_GB2312" w:eastAsia="仿宋_GB2312" w:cs="仿宋_GB2312"/>
          <w:b/>
          <w:spacing w:val="-8"/>
          <w:sz w:val="32"/>
          <w:szCs w:val="32"/>
        </w:rPr>
        <w:t>质量监控</w:t>
      </w:r>
    </w:p>
    <w:p w14:paraId="25EA223A">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1.教学网络监控实现教学场所全覆盖</w:t>
      </w:r>
    </w:p>
    <w:p w14:paraId="68178F6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依托智慧校园与智慧教室的先进基础设施，成功落成大型教学监控中心。该中心装备高清大屏与四台高性能控制电脑，实现对教学楼、实验实训室及室内外运动场所等所有教学区域的全方位实时监控。校领导、教学管理人员及督导团队能够便捷地进行远程看课、查课，并即时反馈教学信息，极大地提升了课堂教学管理的效率与质量。该中心的正式启用，有效强化了教学组织的规范性，激发师生自律意识，为构建高质量教育体系奠定坚实基础。</w:t>
      </w:r>
    </w:p>
    <w:p w14:paraId="23CD1CF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bookmarkStart w:id="49" w:name="_Toc12656"/>
      <w:r>
        <w:rPr>
          <w:rFonts w:hint="eastAsia" w:ascii="仿宋_GB2312" w:hAnsi="仿宋_GB2312" w:eastAsia="仿宋_GB2312" w:cs="仿宋_GB2312"/>
          <w:spacing w:val="-8"/>
          <w:sz w:val="32"/>
          <w:szCs w:val="32"/>
          <w:lang w:val="en-US" w:eastAsia="zh-CN"/>
        </w:rPr>
        <w:t>2.强化评价反馈</w:t>
      </w:r>
      <w:bookmarkEnd w:id="49"/>
    </w:p>
    <w:p w14:paraId="389379A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坚持每周召开教学工作例会，确保教学工作高效有序；成立教学运行巡查组，高频次、全覆盖巡视教学区域，关注教学全过程及师生互动；定期组织期初、期中、期末教学检查，确保教学秩序与质量。教务处会同教学督导办公室，对教学过程中出现的情况进行常态化督导与反馈，相关二级学院迅速整改落实、教务处和督导办进行督查，确保反馈形成闭环，达到效果。</w:t>
      </w:r>
    </w:p>
    <w:p w14:paraId="0AB13B4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楷体" w:hAnsi="楷体" w:eastAsia="楷体" w:cs="楷体"/>
          <w:b/>
          <w:spacing w:val="-8"/>
          <w:sz w:val="32"/>
          <w:szCs w:val="32"/>
        </w:rPr>
        <w:t>六、学生学习效果</w:t>
      </w:r>
    </w:p>
    <w:p w14:paraId="280AA0F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一）</w:t>
      </w:r>
      <w:r>
        <w:rPr>
          <w:rFonts w:hint="eastAsia" w:ascii="仿宋_GB2312" w:hAnsi="仿宋_GB2312" w:eastAsia="仿宋_GB2312" w:cs="仿宋_GB2312"/>
          <w:b/>
          <w:spacing w:val="-8"/>
          <w:sz w:val="32"/>
          <w:szCs w:val="32"/>
        </w:rPr>
        <w:t>学习满意度</w:t>
      </w:r>
    </w:p>
    <w:p w14:paraId="5DCC0B4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val="en-US" w:eastAsia="zh-CN"/>
        </w:rPr>
        <w:t>1.</w:t>
      </w:r>
      <w:r>
        <w:rPr>
          <w:rFonts w:hint="eastAsia" w:ascii="仿宋_GB2312" w:hAnsi="仿宋_GB2312" w:eastAsia="仿宋_GB2312" w:cs="仿宋_GB2312"/>
          <w:spacing w:val="-8"/>
          <w:sz w:val="32"/>
          <w:szCs w:val="32"/>
        </w:rPr>
        <w:t>人才培养中“以学生为本”理念的践行情况</w:t>
      </w:r>
    </w:p>
    <w:p w14:paraId="0714C22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2024-2025学年，</w:t>
      </w:r>
      <w:r>
        <w:rPr>
          <w:rFonts w:hint="eastAsia" w:ascii="仿宋_GB2312" w:hAnsi="仿宋_GB2312" w:eastAsia="仿宋_GB2312" w:cs="仿宋_GB2312"/>
          <w:spacing w:val="-8"/>
          <w:sz w:val="32"/>
          <w:szCs w:val="32"/>
          <w:lang w:val="en-US" w:eastAsia="zh-CN"/>
        </w:rPr>
        <w:t>学校</w:t>
      </w:r>
      <w:r>
        <w:rPr>
          <w:rFonts w:hint="eastAsia" w:ascii="仿宋_GB2312" w:hAnsi="仿宋_GB2312" w:eastAsia="仿宋_GB2312" w:cs="仿宋_GB2312"/>
          <w:spacing w:val="-8"/>
          <w:sz w:val="32"/>
          <w:szCs w:val="32"/>
        </w:rPr>
        <w:t>始终秉持“以学生为本”的核心理念，将其贯穿于人才培养全流程。在日常管理服务中，建立“校-院-班-舍”四级</w:t>
      </w:r>
      <w:r>
        <w:rPr>
          <w:rFonts w:hint="eastAsia" w:ascii="仿宋_GB2312" w:hAnsi="仿宋_GB2312" w:eastAsia="仿宋_GB2312" w:cs="仿宋_GB2312"/>
          <w:spacing w:val="-8"/>
          <w:sz w:val="32"/>
          <w:szCs w:val="32"/>
          <w:lang w:val="en-US" w:eastAsia="zh-CN"/>
        </w:rPr>
        <w:t>网格化</w:t>
      </w:r>
      <w:r>
        <w:rPr>
          <w:rFonts w:hint="eastAsia" w:ascii="仿宋_GB2312" w:hAnsi="仿宋_GB2312" w:eastAsia="仿宋_GB2312" w:cs="仿宋_GB2312"/>
          <w:spacing w:val="-8"/>
          <w:sz w:val="32"/>
          <w:szCs w:val="32"/>
        </w:rPr>
        <w:t>联动服务体系，针对学生在学习、生活、心理、就业等方面的需求，搭建多元化沟通反馈平台，包括定期召开学生座谈会、开通线上意见反馈通道、设立</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val="en-US" w:eastAsia="zh-CN"/>
        </w:rPr>
        <w:t>一站式</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lang w:val="en-US" w:eastAsia="zh-CN"/>
        </w:rPr>
        <w:t>学生服务中心</w:t>
      </w:r>
      <w:r>
        <w:rPr>
          <w:rFonts w:hint="eastAsia" w:ascii="仿宋_GB2312" w:hAnsi="仿宋_GB2312" w:eastAsia="仿宋_GB2312" w:cs="仿宋_GB2312"/>
          <w:spacing w:val="-8"/>
          <w:sz w:val="32"/>
          <w:szCs w:val="32"/>
        </w:rPr>
        <w:t>办事窗口等</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rPr>
        <w:t>切实解决学生急难愁盼问题。</w:t>
      </w:r>
    </w:p>
    <w:p w14:paraId="288918B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在个性化培养支持方面，针对不同年级、不同专业学生的特点，开展分层分类指导。对新生重点开展入学教育等帮助新生快速融入大学生活；对高年级学生聚焦就业创业指导、考研经验分享会等活动，全年累计开展相关活动</w:t>
      </w:r>
      <w:r>
        <w:rPr>
          <w:rFonts w:hint="eastAsia" w:ascii="仿宋_GB2312" w:hAnsi="仿宋_GB2312" w:eastAsia="仿宋_GB2312" w:cs="仿宋_GB2312"/>
          <w:spacing w:val="-8"/>
          <w:sz w:val="32"/>
          <w:szCs w:val="32"/>
          <w:lang w:val="en-US" w:eastAsia="zh-CN"/>
        </w:rPr>
        <w:t>60余</w:t>
      </w:r>
      <w:r>
        <w:rPr>
          <w:rFonts w:hint="eastAsia" w:ascii="仿宋_GB2312" w:hAnsi="仿宋_GB2312" w:eastAsia="仿宋_GB2312" w:cs="仿宋_GB2312"/>
          <w:spacing w:val="-8"/>
          <w:sz w:val="32"/>
          <w:szCs w:val="32"/>
        </w:rPr>
        <w:t>场，覆盖学生</w:t>
      </w:r>
      <w:r>
        <w:rPr>
          <w:rFonts w:hint="eastAsia" w:ascii="仿宋_GB2312" w:hAnsi="仿宋_GB2312" w:eastAsia="仿宋_GB2312" w:cs="仿宋_GB2312"/>
          <w:spacing w:val="-8"/>
          <w:sz w:val="32"/>
          <w:szCs w:val="32"/>
          <w:lang w:val="en-US" w:eastAsia="zh-CN"/>
        </w:rPr>
        <w:t>10000</w:t>
      </w:r>
      <w:r>
        <w:rPr>
          <w:rFonts w:hint="eastAsia" w:ascii="仿宋_GB2312" w:hAnsi="仿宋_GB2312" w:eastAsia="仿宋_GB2312" w:cs="仿宋_GB2312"/>
          <w:spacing w:val="-8"/>
          <w:sz w:val="32"/>
          <w:szCs w:val="32"/>
        </w:rPr>
        <w:t>余人次，全力保障学生成长发展需求。</w:t>
      </w:r>
    </w:p>
    <w:p w14:paraId="009FE98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val="en-US" w:eastAsia="zh-CN"/>
        </w:rPr>
        <w:t>2.</w:t>
      </w:r>
      <w:r>
        <w:rPr>
          <w:rFonts w:hint="eastAsia" w:ascii="仿宋_GB2312" w:hAnsi="仿宋_GB2312" w:eastAsia="仿宋_GB2312" w:cs="仿宋_GB2312"/>
          <w:spacing w:val="-8"/>
          <w:sz w:val="32"/>
          <w:szCs w:val="32"/>
        </w:rPr>
        <w:t>以学风建设为抓手，提升人才培养质量</w:t>
      </w:r>
    </w:p>
    <w:p w14:paraId="0CAAF8E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val="en-US" w:eastAsia="zh-CN"/>
        </w:rPr>
        <w:t>学校</w:t>
      </w:r>
      <w:r>
        <w:rPr>
          <w:rFonts w:hint="eastAsia" w:ascii="仿宋_GB2312" w:hAnsi="仿宋_GB2312" w:eastAsia="仿宋_GB2312" w:cs="仿宋_GB2312"/>
          <w:spacing w:val="-8"/>
          <w:sz w:val="32"/>
          <w:szCs w:val="32"/>
        </w:rPr>
        <w:t>以提升人才培养质量为核心目标，聚焦学风建设关键环节，通过健全长效机制、搭建帮扶平台、强化考风引导、规范日常管理等系列举措，全方位培育优良学风，取得显著成效。</w:t>
      </w:r>
    </w:p>
    <w:p w14:paraId="77A8998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健全学风建设长效机制</w:t>
      </w:r>
      <w:r>
        <w:rPr>
          <w:rFonts w:hint="eastAsia" w:ascii="仿宋_GB2312" w:hAnsi="仿宋_GB2312" w:eastAsia="仿宋_GB2312" w:cs="仿宋_GB2312"/>
          <w:spacing w:val="-8"/>
          <w:sz w:val="32"/>
          <w:szCs w:val="32"/>
          <w:lang w:eastAsia="zh-CN"/>
        </w:rPr>
        <w:t>，</w:t>
      </w:r>
      <w:r>
        <w:rPr>
          <w:rFonts w:hint="eastAsia" w:ascii="仿宋_GB2312" w:hAnsi="仿宋_GB2312" w:eastAsia="仿宋_GB2312" w:cs="仿宋_GB2312"/>
          <w:spacing w:val="-8"/>
          <w:sz w:val="32"/>
          <w:szCs w:val="32"/>
        </w:rPr>
        <w:t>制定</w:t>
      </w:r>
      <w:r>
        <w:rPr>
          <w:rFonts w:hint="eastAsia" w:ascii="仿宋_GB2312" w:hAnsi="仿宋_GB2312" w:eastAsia="仿宋_GB2312" w:cs="仿宋_GB2312"/>
          <w:spacing w:val="-8"/>
          <w:sz w:val="32"/>
          <w:szCs w:val="32"/>
          <w:lang w:val="en-US" w:eastAsia="zh-CN"/>
        </w:rPr>
        <w:t>了</w:t>
      </w:r>
      <w:r>
        <w:rPr>
          <w:rFonts w:hint="eastAsia" w:ascii="仿宋_GB2312" w:hAnsi="仿宋_GB2312" w:eastAsia="仿宋_GB2312" w:cs="仿宋_GB2312"/>
          <w:spacing w:val="-8"/>
          <w:sz w:val="32"/>
          <w:szCs w:val="32"/>
        </w:rPr>
        <w:t>《南应师学工发〔2025〕72号南昌应用技术师范学院优良学风班评选办法（试行）》，发布“红色班级”创建试点答辩评审通知，明确将到课率、违规违纪情况、考试通过率等核心指标纳入班级评优体系，以制度化建设引领学风培育规范化发展，充分调动班级参与学风建设的主动性与积极性。</w:t>
      </w:r>
    </w:p>
    <w:p w14:paraId="42461B1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搭建优质学业帮扶平台。围绕学生学业提升核心需求，精心打造“身边榜样·应师院力量”分享品牌，开展1</w:t>
      </w:r>
      <w:r>
        <w:rPr>
          <w:rFonts w:hint="eastAsia" w:ascii="仿宋_GB2312" w:hAnsi="仿宋_GB2312" w:eastAsia="仿宋_GB2312" w:cs="仿宋_GB2312"/>
          <w:spacing w:val="-8"/>
          <w:sz w:val="32"/>
          <w:szCs w:val="32"/>
          <w:lang w:val="en-US" w:eastAsia="zh-CN"/>
        </w:rPr>
        <w:t>4</w:t>
      </w:r>
      <w:r>
        <w:rPr>
          <w:rFonts w:hint="eastAsia" w:ascii="仿宋_GB2312" w:hAnsi="仿宋_GB2312" w:eastAsia="仿宋_GB2312" w:cs="仿宋_GB2312"/>
          <w:spacing w:val="-8"/>
          <w:sz w:val="32"/>
          <w:szCs w:val="32"/>
        </w:rPr>
        <w:t>期主题交流会，内容覆盖计算机二级备考、国奖申报经验、英语四六级突破等重点领域。通过优秀学子分享实战经验与学习方法，发挥榜样示范引领作用，为学生提供“可借鉴、可复制”的成长路径，有效缓解备考焦虑，助力综合能力提升。</w:t>
      </w:r>
    </w:p>
    <w:p w14:paraId="1AC3F0A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强化考风考纪教育引导。在期末考试、英语四六级等重要考试前，集中开展“诚实守信，文明应考”主题教育。通过主题班会、诚信承诺书签署、典型案例宣讲等形式，深植诚信考试理念，引导学生自觉抵制违纪作弊行为，树立正确价值导向，营造“公平公正、诚信应考”的良好考试氛围。</w:t>
      </w:r>
    </w:p>
    <w:p w14:paraId="7454CAE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规范学生日常管理体系。修订《学生手册》，进一步完善请假销假、违纪处理、学籍异动等制度规范，实现学生管理有章可循、有据可依。全年规范办理学籍异动135起，依规处理校级违纪事件32起，在严格执行制度的同时注重温情服务，做到依规管理与人文关怀相统一，为学风建设筑牢基础保障。</w:t>
      </w:r>
    </w:p>
    <w:p w14:paraId="2915682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深化特色学风培育实践。举办“优良学风”系列主题活动，成功培育“优良学风班”“红色班级”共15个，以点带面辐射带动全校学风提升。牵头加强班级骨干队伍建设，强化责任意识与服务能力，带领大学生自律委员会扎实开展日常学风督查、文明行为引导等工作，构建全员参与、协同推进的学风建设格局。</w:t>
      </w:r>
    </w:p>
    <w:p w14:paraId="4A1C533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系列举措推动学风建设成效显著：一是班级学风持续优化，示范班级发挥引领作用，全校班级平均到课率提升，违规违纪现象同比下降；二是学生学习主动性显著增强，计算机二级、英语四六级备考参与人数同比增长，考研备考氛围浓厚；三是诚信考试理念深入人心，形成“勤学、善思、笃行、诚信”的优良学风导向，为人才培养质量提升提供坚实保障。</w:t>
      </w:r>
    </w:p>
    <w:p w14:paraId="7803123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lang w:val="en-US" w:eastAsia="zh-CN"/>
        </w:rPr>
        <w:t>3.</w:t>
      </w:r>
      <w:r>
        <w:rPr>
          <w:rFonts w:hint="eastAsia" w:ascii="仿宋_GB2312" w:hAnsi="仿宋_GB2312" w:eastAsia="仿宋_GB2312" w:cs="仿宋_GB2312"/>
          <w:spacing w:val="-8"/>
          <w:sz w:val="32"/>
          <w:szCs w:val="32"/>
        </w:rPr>
        <w:t>学生学习满意度调查开展情况</w:t>
      </w:r>
    </w:p>
    <w:p w14:paraId="2F66246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rPr>
      </w:pPr>
      <w:r>
        <w:rPr>
          <w:rFonts w:hint="eastAsia" w:ascii="仿宋_GB2312" w:hAnsi="仿宋_GB2312" w:eastAsia="仿宋_GB2312" w:cs="仿宋_GB2312"/>
          <w:spacing w:val="-8"/>
          <w:sz w:val="32"/>
          <w:szCs w:val="32"/>
        </w:rPr>
        <w:t>管理服务维度中，资助育人工作满意度表现突出，成为重要支撑：本学年学校扎实推进资助工作从“保障型”向“发展型”转变，通过“四段式”精准认定流程，确定家庭经济困难学生3016人，全面落实国家奖助政策，累计发放资助金</w:t>
      </w:r>
      <w:r>
        <w:rPr>
          <w:rFonts w:hint="eastAsia" w:ascii="仿宋_GB2312" w:hAnsi="仿宋_GB2312" w:eastAsia="仿宋_GB2312" w:cs="仿宋_GB2312"/>
          <w:spacing w:val="-8"/>
          <w:sz w:val="32"/>
          <w:szCs w:val="32"/>
          <w:lang w:val="en-US" w:eastAsia="zh-CN"/>
        </w:rPr>
        <w:t>1000余</w:t>
      </w:r>
      <w:r>
        <w:rPr>
          <w:rFonts w:hint="eastAsia" w:ascii="仿宋_GB2312" w:hAnsi="仿宋_GB2312" w:eastAsia="仿宋_GB2312" w:cs="仿宋_GB2312"/>
          <w:spacing w:val="-8"/>
          <w:sz w:val="32"/>
          <w:szCs w:val="32"/>
        </w:rPr>
        <w:t>万元；</w:t>
      </w:r>
      <w:r>
        <w:rPr>
          <w:rFonts w:hint="eastAsia" w:ascii="仿宋_GB2312" w:hAnsi="仿宋_GB2312" w:eastAsia="仿宋_GB2312" w:cs="仿宋_GB2312"/>
          <w:spacing w:val="-8"/>
          <w:sz w:val="32"/>
          <w:szCs w:val="32"/>
          <w:lang w:val="en-US" w:eastAsia="zh-CN"/>
        </w:rPr>
        <w:t>在宿舍</w:t>
      </w:r>
      <w:r>
        <w:rPr>
          <w:rFonts w:hint="eastAsia" w:ascii="仿宋_GB2312" w:hAnsi="仿宋_GB2312" w:eastAsia="仿宋_GB2312" w:cs="仿宋_GB2312"/>
          <w:spacing w:val="-8"/>
          <w:sz w:val="32"/>
          <w:szCs w:val="32"/>
        </w:rPr>
        <w:t>拓展“共享书香·共建学习空间”、勤工助学、主题征文等育人形式，优化“暖心电”配送、奖学金上调、节日慰问等服务，有效增强受助学生获得感与归属感，获得广泛认可。</w:t>
      </w:r>
    </w:p>
    <w:p w14:paraId="5780EEE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二）</w:t>
      </w:r>
      <w:r>
        <w:rPr>
          <w:rFonts w:hint="eastAsia" w:ascii="仿宋_GB2312" w:hAnsi="仿宋_GB2312" w:eastAsia="仿宋_GB2312" w:cs="仿宋_GB2312"/>
          <w:b/>
          <w:spacing w:val="-8"/>
          <w:sz w:val="32"/>
          <w:szCs w:val="32"/>
        </w:rPr>
        <w:t>应届本科生毕业</w:t>
      </w:r>
    </w:p>
    <w:p w14:paraId="6D07EF4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eastAsia="en-US"/>
        </w:rPr>
      </w:pPr>
      <w:r>
        <w:rPr>
          <w:rFonts w:hint="eastAsia" w:ascii="仿宋_GB2312" w:hAnsi="仿宋_GB2312" w:eastAsia="仿宋_GB2312" w:cs="仿宋_GB2312"/>
          <w:spacing w:val="-8"/>
          <w:sz w:val="32"/>
          <w:szCs w:val="32"/>
          <w:lang w:eastAsia="en-US"/>
        </w:rPr>
        <w:t>学校注重学风建设，严把学生毕业出口关，全面开展学业预警工作，本科毕业生质量有保证。</w:t>
      </w:r>
      <w:r>
        <w:rPr>
          <w:rFonts w:hint="eastAsia" w:ascii="仿宋_GB2312" w:hAnsi="仿宋_GB2312" w:eastAsia="仿宋_GB2312" w:cs="仿宋_GB2312"/>
          <w:spacing w:val="-8"/>
          <w:sz w:val="32"/>
          <w:szCs w:val="32"/>
          <w:lang w:val="en-US" w:eastAsia="zh-CN"/>
        </w:rPr>
        <w:t>2025届</w:t>
      </w:r>
      <w:r>
        <w:rPr>
          <w:rFonts w:hint="eastAsia" w:ascii="仿宋_GB2312" w:hAnsi="仿宋_GB2312" w:eastAsia="仿宋_GB2312" w:cs="仿宋_GB2312"/>
          <w:spacing w:val="-8"/>
          <w:sz w:val="32"/>
          <w:szCs w:val="32"/>
          <w:lang w:eastAsia="en-US"/>
        </w:rPr>
        <w:t>共有本科毕业生1410人，实际毕业人数1406人，毕业率99.72%、学位授予率为100%。</w:t>
      </w:r>
    </w:p>
    <w:p w14:paraId="14A9934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三）</w:t>
      </w:r>
      <w:r>
        <w:rPr>
          <w:rFonts w:hint="eastAsia" w:ascii="仿宋_GB2312" w:hAnsi="仿宋_GB2312" w:eastAsia="仿宋_GB2312" w:cs="仿宋_GB2312"/>
          <w:b/>
          <w:spacing w:val="-8"/>
          <w:sz w:val="32"/>
          <w:szCs w:val="32"/>
        </w:rPr>
        <w:t>攻读研究生</w:t>
      </w:r>
    </w:p>
    <w:p w14:paraId="156C3F0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2025届毕业生中，考研升学62人，其中考取国内研究生53人，境外留学深造人9人。</w:t>
      </w:r>
    </w:p>
    <w:p w14:paraId="0E3BD04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rPr>
      </w:pPr>
      <w:r>
        <w:rPr>
          <w:rFonts w:hint="eastAsia" w:ascii="仿宋_GB2312" w:hAnsi="仿宋_GB2312" w:eastAsia="仿宋_GB2312" w:cs="仿宋_GB2312"/>
          <w:b/>
          <w:spacing w:val="-8"/>
          <w:sz w:val="32"/>
          <w:szCs w:val="32"/>
          <w:lang w:eastAsia="zh-CN"/>
        </w:rPr>
        <w:t>（</w:t>
      </w:r>
      <w:r>
        <w:rPr>
          <w:rFonts w:hint="eastAsia" w:ascii="仿宋_GB2312" w:hAnsi="仿宋_GB2312" w:eastAsia="仿宋_GB2312" w:cs="仿宋_GB2312"/>
          <w:b/>
          <w:spacing w:val="-8"/>
          <w:sz w:val="32"/>
          <w:szCs w:val="32"/>
          <w:lang w:val="en-US" w:eastAsia="zh-CN"/>
        </w:rPr>
        <w:t>四）</w:t>
      </w:r>
      <w:r>
        <w:rPr>
          <w:rFonts w:hint="eastAsia" w:ascii="仿宋_GB2312" w:hAnsi="仿宋_GB2312" w:eastAsia="仿宋_GB2312" w:cs="仿宋_GB2312"/>
          <w:b/>
          <w:spacing w:val="-8"/>
          <w:sz w:val="32"/>
          <w:szCs w:val="32"/>
        </w:rPr>
        <w:t>毕业生就业</w:t>
      </w:r>
    </w:p>
    <w:p w14:paraId="6F228ED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2025届毕业生共有2185人。其中，男性790人，占毕业生总人数的36.16%；女性1395人，占毕业生总人数的63.84%。2025届毕业生来自13个民族。其中，汉族毕业生2157人，占毕业生总人数的98.72%；少数民族毕业生28人，占毕业生总人数的1.28%。少数民族人数最多的是土家族，有9人，占毕业生总人数的0.41%。</w:t>
      </w:r>
    </w:p>
    <w:p w14:paraId="27AC0EF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截至2025年8月31日，毕业去向落实人数共1855人，</w:t>
      </w:r>
      <w:bookmarkStart w:id="50" w:name="OLE_LINK21"/>
      <w:r>
        <w:rPr>
          <w:rFonts w:hint="eastAsia" w:ascii="仿宋_GB2312" w:hAnsi="仿宋_GB2312" w:eastAsia="仿宋_GB2312" w:cs="仿宋_GB2312"/>
          <w:spacing w:val="-8"/>
          <w:sz w:val="32"/>
          <w:szCs w:val="32"/>
          <w:lang w:val="en-US" w:eastAsia="zh-CN"/>
        </w:rPr>
        <w:t>毕业去向落实率为84.90%</w:t>
      </w:r>
      <w:bookmarkEnd w:id="50"/>
      <w:r>
        <w:rPr>
          <w:rFonts w:hint="eastAsia" w:ascii="仿宋_GB2312" w:hAnsi="仿宋_GB2312" w:eastAsia="仿宋_GB2312" w:cs="仿宋_GB2312"/>
          <w:spacing w:val="-8"/>
          <w:sz w:val="32"/>
          <w:szCs w:val="32"/>
          <w:lang w:val="en-US" w:eastAsia="zh-CN"/>
        </w:rPr>
        <w:t>,平均薪资待遇为5237元/月。从毕业去向构成来看，毕业生单位就业率为81.65%，待就业率为14.37%，升学率为2.79%，暂不就业率为0.73%，自主创业率为0.41%，自由职业比例为0.05%。</w:t>
      </w:r>
    </w:p>
    <w:p w14:paraId="49F21EC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2025届毕业在省内就业的共1022人，占比57.16%；在省外就业的共766人，占比42.84%。毕业生省外就业地域以广东省、浙江省和江苏省为主，占比分别为12.42%、8.78%和3.52%。</w:t>
      </w:r>
    </w:p>
    <w:p w14:paraId="0CC3FBE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spacing w:val="-8"/>
          <w:sz w:val="32"/>
          <w:szCs w:val="32"/>
        </w:rPr>
      </w:pPr>
      <w:r>
        <w:rPr>
          <w:rFonts w:hint="eastAsia" w:ascii="楷体" w:hAnsi="楷体" w:eastAsia="楷体" w:cs="楷体"/>
          <w:b/>
          <w:spacing w:val="-8"/>
          <w:sz w:val="32"/>
          <w:szCs w:val="32"/>
          <w:lang w:val="en-US" w:eastAsia="zh-CN"/>
        </w:rPr>
        <w:t>七</w:t>
      </w:r>
      <w:r>
        <w:rPr>
          <w:rFonts w:hint="eastAsia" w:ascii="楷体" w:hAnsi="楷体" w:eastAsia="楷体" w:cs="楷体"/>
          <w:b/>
          <w:spacing w:val="-8"/>
          <w:sz w:val="32"/>
          <w:szCs w:val="32"/>
        </w:rPr>
        <w:t>、特色发展</w:t>
      </w:r>
    </w:p>
    <w:p w14:paraId="3ACDBDF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lang w:val="en-US" w:eastAsia="zh-CN"/>
        </w:rPr>
      </w:pPr>
      <w:bookmarkStart w:id="51" w:name="_Toc26334"/>
      <w:r>
        <w:rPr>
          <w:rFonts w:hint="eastAsia" w:ascii="仿宋_GB2312" w:hAnsi="仿宋_GB2312" w:eastAsia="仿宋_GB2312" w:cs="仿宋_GB2312"/>
          <w:b/>
          <w:spacing w:val="-8"/>
          <w:sz w:val="32"/>
          <w:szCs w:val="32"/>
          <w:lang w:val="en-US" w:eastAsia="zh-CN"/>
        </w:rPr>
        <w:t>（一）明确人才培养思路</w:t>
      </w:r>
      <w:bookmarkEnd w:id="51"/>
    </w:p>
    <w:p w14:paraId="372403B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学校坚持党的全面领导，以能力建设为核心，制度建设为保障，围绕立德树人根本任务，坚定为党育人、为国育才的政治方向。</w:t>
      </w:r>
      <w:r>
        <w:rPr>
          <w:rFonts w:hint="default" w:ascii="仿宋_GB2312" w:hAnsi="仿宋_GB2312" w:eastAsia="仿宋_GB2312" w:cs="仿宋_GB2312"/>
          <w:spacing w:val="-8"/>
          <w:sz w:val="32"/>
          <w:szCs w:val="32"/>
          <w:lang w:val="en-US" w:eastAsia="zh-CN"/>
        </w:rPr>
        <w:t>立足新时代教育发展阶段性特征，以国家重大战略需求和区域经济社会发展需要为导向，在多校区建设发展的总体布局下，以内涵建设为根本任务，加强顶层设计，通过构建学科专业动态调整机制和特色发展引导机制，不断优化学科专业结构，构建起与我省</w:t>
      </w:r>
      <w:bookmarkStart w:id="52" w:name="OLE_LINK7"/>
      <w:r>
        <w:rPr>
          <w:rFonts w:hint="default" w:ascii="仿宋_GB2312" w:hAnsi="仿宋_GB2312" w:eastAsia="仿宋_GB2312" w:cs="仿宋_GB2312"/>
          <w:spacing w:val="-8"/>
          <w:sz w:val="32"/>
          <w:szCs w:val="32"/>
          <w:lang w:val="en-US" w:eastAsia="zh-CN"/>
        </w:rPr>
        <w:t>“</w:t>
      </w:r>
      <w:r>
        <w:rPr>
          <w:rFonts w:hint="eastAsia" w:ascii="仿宋_GB2312" w:hAnsi="仿宋_GB2312" w:eastAsia="仿宋_GB2312" w:cs="仿宋_GB2312"/>
          <w:spacing w:val="-8"/>
          <w:sz w:val="32"/>
          <w:szCs w:val="32"/>
          <w:lang w:val="en-US" w:eastAsia="zh-CN"/>
        </w:rPr>
        <w:t>1269</w:t>
      </w:r>
      <w:r>
        <w:rPr>
          <w:rFonts w:hint="default" w:ascii="仿宋_GB2312" w:hAnsi="仿宋_GB2312" w:eastAsia="仿宋_GB2312" w:cs="仿宋_GB2312"/>
          <w:spacing w:val="-8"/>
          <w:sz w:val="32"/>
          <w:szCs w:val="32"/>
          <w:lang w:val="en-US" w:eastAsia="zh-CN"/>
        </w:rPr>
        <w:t>”</w:t>
      </w:r>
      <w:bookmarkEnd w:id="52"/>
      <w:r>
        <w:rPr>
          <w:rFonts w:hint="eastAsia" w:ascii="仿宋_GB2312" w:hAnsi="仿宋_GB2312" w:eastAsia="仿宋_GB2312" w:cs="仿宋_GB2312"/>
          <w:spacing w:val="-8"/>
          <w:sz w:val="32"/>
          <w:szCs w:val="32"/>
          <w:lang w:val="en-US" w:eastAsia="zh-CN"/>
        </w:rPr>
        <w:t>重点</w:t>
      </w:r>
      <w:r>
        <w:rPr>
          <w:rFonts w:hint="default" w:ascii="仿宋_GB2312" w:hAnsi="仿宋_GB2312" w:eastAsia="仿宋_GB2312" w:cs="仿宋_GB2312"/>
          <w:spacing w:val="-8"/>
          <w:sz w:val="32"/>
          <w:szCs w:val="32"/>
          <w:lang w:val="en-US" w:eastAsia="zh-CN"/>
        </w:rPr>
        <w:t>产业</w:t>
      </w:r>
      <w:r>
        <w:rPr>
          <w:rFonts w:hint="eastAsia" w:ascii="仿宋_GB2312" w:hAnsi="仿宋_GB2312" w:eastAsia="仿宋_GB2312" w:cs="仿宋_GB2312"/>
          <w:spacing w:val="-8"/>
          <w:sz w:val="32"/>
          <w:szCs w:val="32"/>
          <w:lang w:val="en-US" w:eastAsia="zh-CN"/>
        </w:rPr>
        <w:t>链</w:t>
      </w:r>
      <w:r>
        <w:rPr>
          <w:rFonts w:hint="default" w:ascii="仿宋_GB2312" w:hAnsi="仿宋_GB2312" w:eastAsia="仿宋_GB2312" w:cs="仿宋_GB2312"/>
          <w:spacing w:val="-8"/>
          <w:sz w:val="32"/>
          <w:szCs w:val="32"/>
          <w:lang w:val="en-US" w:eastAsia="zh-CN"/>
        </w:rPr>
        <w:t>相适应的特色鲜明、优势突出、交叉协同、相互支撑的学科专业体系，使我校学科专业快速响应重大战略需求的能力不断增强，培养</w:t>
      </w:r>
      <w:r>
        <w:rPr>
          <w:rFonts w:hint="eastAsia" w:ascii="仿宋_GB2312" w:hAnsi="仿宋_GB2312" w:eastAsia="仿宋_GB2312" w:cs="仿宋_GB2312"/>
          <w:spacing w:val="-8"/>
          <w:sz w:val="32"/>
          <w:szCs w:val="32"/>
          <w:lang w:val="en-US" w:eastAsia="zh-CN"/>
        </w:rPr>
        <w:t>现代与战略新兴产业</w:t>
      </w:r>
      <w:r>
        <w:rPr>
          <w:rFonts w:hint="default" w:ascii="仿宋_GB2312" w:hAnsi="仿宋_GB2312" w:eastAsia="仿宋_GB2312" w:cs="仿宋_GB2312"/>
          <w:spacing w:val="-8"/>
          <w:sz w:val="32"/>
          <w:szCs w:val="32"/>
          <w:lang w:val="en-US" w:eastAsia="zh-CN"/>
        </w:rPr>
        <w:t>急需人才的能力水平显著提升。</w:t>
      </w:r>
    </w:p>
    <w:p w14:paraId="216BC24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default" w:ascii="仿宋_GB2312" w:hAnsi="仿宋_GB2312" w:eastAsia="仿宋_GB2312" w:cs="仿宋_GB2312"/>
          <w:b/>
          <w:spacing w:val="-8"/>
          <w:sz w:val="32"/>
          <w:szCs w:val="32"/>
          <w:lang w:val="en-US" w:eastAsia="zh-CN"/>
        </w:rPr>
      </w:pPr>
      <w:bookmarkStart w:id="53" w:name="_Toc32665"/>
      <w:r>
        <w:rPr>
          <w:rFonts w:hint="eastAsia" w:ascii="仿宋_GB2312" w:hAnsi="仿宋_GB2312" w:eastAsia="仿宋_GB2312" w:cs="仿宋_GB2312"/>
          <w:b/>
          <w:spacing w:val="-8"/>
          <w:sz w:val="32"/>
          <w:szCs w:val="32"/>
          <w:lang w:val="en-US" w:eastAsia="zh-CN"/>
        </w:rPr>
        <w:t>（二）创新人才培养模式</w:t>
      </w:r>
      <w:bookmarkEnd w:id="53"/>
    </w:p>
    <w:p w14:paraId="5F70B1E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制定了“层级制、产出式、实践化、复合型”的人才培养要求，突出应用特色，统筹教育资源，构建“三层六级”课程体系，并对接产业链组建专业群。对标国家专业类教学质量标准和认证要求，突出康养、礼仪、国学、敬职“四个素养”和数字化表达、计算、设计、决策“四种能力”，科学定位人才培养目标，细化毕业要求，优化课程体系。通过深入推进产教融合，完善“层级化”实践教学体系和“情境实战式”实践条件体系，培养学生专业特长和职业、技能正迁移能力。同时，强化三全育人、五育并举，推进课程思政建设、创新创业教育，实施“一二课堂融通、课内课外结合”，探索产教融合、国际合作等人才培养路径。</w:t>
      </w:r>
    </w:p>
    <w:p w14:paraId="211B0AF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lang w:val="en-US" w:eastAsia="zh-CN"/>
        </w:rPr>
      </w:pPr>
      <w:bookmarkStart w:id="54" w:name="_Toc22641"/>
      <w:r>
        <w:rPr>
          <w:rFonts w:hint="eastAsia" w:ascii="仿宋_GB2312" w:hAnsi="仿宋_GB2312" w:eastAsia="仿宋_GB2312" w:cs="仿宋_GB2312"/>
          <w:b/>
          <w:spacing w:val="-8"/>
          <w:sz w:val="32"/>
          <w:szCs w:val="32"/>
          <w:lang w:val="en-US" w:eastAsia="zh-CN"/>
        </w:rPr>
        <w:t>（三）改革通识教育</w:t>
      </w:r>
      <w:bookmarkEnd w:id="54"/>
    </w:p>
    <w:p w14:paraId="329653E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学校以学生为中心，构建“五育融合”的课程体系，促进学生全面发展。以美育、劳育、体育和创新创业教育改革为抓手，推进当地优秀传统文化的传承习练创新。实施以“琴棋书画”为重点的书院制美育教育，改进以“茶花香巧”为重点的工坊式劳动教育，探索以“俱乐部化”为重点的体育教育，实施以“赛创研培”为重点的一体化创新创业教育。各开课单位加强理论研究与实践改革，制定并实施相关课程建设改革方案。</w:t>
      </w:r>
    </w:p>
    <w:p w14:paraId="5AAF411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lang w:val="en-US" w:eastAsia="zh-CN"/>
        </w:rPr>
      </w:pPr>
      <w:r>
        <w:rPr>
          <w:rFonts w:hint="eastAsia" w:ascii="仿宋_GB2312" w:hAnsi="仿宋_GB2312" w:eastAsia="仿宋_GB2312" w:cs="仿宋_GB2312"/>
          <w:b/>
          <w:spacing w:val="-8"/>
          <w:sz w:val="32"/>
          <w:szCs w:val="32"/>
          <w:lang w:val="en-US" w:eastAsia="zh-CN"/>
        </w:rPr>
        <w:t>（四）实施高质量就业工程</w:t>
      </w:r>
    </w:p>
    <w:p w14:paraId="51C530A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构建“一体两翼，六路通达”的高质量就业工作格局。“一体”即以“夯实学生核心素养与可持续竞争力”为根本主体，坚守高校人才培养根基，确保专业教育质量，反对任何形式的功利化、短视化就业。“两翼”即“全程化的生涯教育体系”与“精准化的就业指导服务”，两翼齐飞，为学生成长赋能。“六路”即聚焦境内外升学、考公考编、自主创业、基层项目、应征入伍、优质企业就业六大毕业出路，实施分类精准施策。最终形成“入学即规划、素养为基础、评估定方向、发展显个性、管理全过程、服务一体化”的工作模式，实现从“能就业”到“就好业”的质的飞跃。</w:t>
      </w:r>
    </w:p>
    <w:p w14:paraId="1EB5F78C">
      <w:pPr>
        <w:keepNext w:val="0"/>
        <w:keepLines w:val="0"/>
        <w:pageBreakBefore w:val="0"/>
        <w:widowControl w:val="0"/>
        <w:kinsoku/>
        <w:wordWrap/>
        <w:overflowPunct/>
        <w:topLinePunct w:val="0"/>
        <w:autoSpaceDE/>
        <w:autoSpaceDN/>
        <w:bidi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rPr>
      </w:pPr>
      <w:r>
        <w:rPr>
          <w:rFonts w:hint="eastAsia" w:ascii="楷体" w:hAnsi="楷体" w:eastAsia="楷体" w:cs="楷体"/>
          <w:b/>
          <w:spacing w:val="-8"/>
          <w:sz w:val="32"/>
          <w:szCs w:val="32"/>
          <w:lang w:val="en-US" w:eastAsia="zh-CN"/>
        </w:rPr>
        <w:t>八</w:t>
      </w:r>
      <w:r>
        <w:rPr>
          <w:rFonts w:hint="eastAsia" w:ascii="楷体" w:hAnsi="楷体" w:eastAsia="楷体" w:cs="楷体"/>
          <w:b/>
          <w:spacing w:val="-8"/>
          <w:sz w:val="32"/>
          <w:szCs w:val="32"/>
        </w:rPr>
        <w:t>、需要解决的问题</w:t>
      </w:r>
    </w:p>
    <w:p w14:paraId="788967E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lang w:val="en-US" w:eastAsia="en-US"/>
        </w:rPr>
      </w:pPr>
      <w:bookmarkStart w:id="55" w:name="_Toc197809760"/>
      <w:bookmarkStart w:id="56" w:name="_Toc1630612853"/>
      <w:r>
        <w:rPr>
          <w:rFonts w:hint="eastAsia" w:ascii="仿宋_GB2312" w:hAnsi="仿宋_GB2312" w:eastAsia="仿宋_GB2312" w:cs="仿宋_GB2312"/>
          <w:b/>
          <w:spacing w:val="-8"/>
          <w:sz w:val="32"/>
          <w:szCs w:val="32"/>
          <w:lang w:val="en-US" w:eastAsia="en-US"/>
        </w:rPr>
        <w:t>(</w:t>
      </w:r>
      <w:r>
        <w:rPr>
          <w:rFonts w:hint="eastAsia" w:ascii="仿宋_GB2312" w:hAnsi="仿宋_GB2312" w:eastAsia="仿宋_GB2312" w:cs="仿宋_GB2312"/>
          <w:b/>
          <w:spacing w:val="-8"/>
          <w:sz w:val="32"/>
          <w:szCs w:val="32"/>
          <w:lang w:val="en-US" w:eastAsia="zh-CN"/>
        </w:rPr>
        <w:t>一</w:t>
      </w:r>
      <w:r>
        <w:rPr>
          <w:rFonts w:hint="eastAsia" w:ascii="仿宋_GB2312" w:hAnsi="仿宋_GB2312" w:eastAsia="仿宋_GB2312" w:cs="仿宋_GB2312"/>
          <w:b/>
          <w:spacing w:val="-8"/>
          <w:sz w:val="32"/>
          <w:szCs w:val="32"/>
          <w:lang w:val="en-US" w:eastAsia="en-US"/>
        </w:rPr>
        <w:t>)专业与课程建设需要进一步加强</w:t>
      </w:r>
      <w:bookmarkEnd w:id="55"/>
      <w:bookmarkEnd w:id="56"/>
    </w:p>
    <w:p w14:paraId="3822E06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1.存在问题</w:t>
      </w:r>
    </w:p>
    <w:p w14:paraId="014A4BF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（1）专业集群协同机制与资源共享不足</w:t>
      </w:r>
    </w:p>
    <w:p w14:paraId="7D161AA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专业集群建设仍停留在规划层面，内部各专业间缺乏有效的协同机制。课程资源、师资力量、实验平台等未实现充分共享与整合，制约了复合型人才培养的整体效能。</w:t>
      </w:r>
    </w:p>
    <w:p w14:paraId="074E22C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（2）课程内容与产业发展及职业标准衔接不紧</w:t>
      </w:r>
    </w:p>
    <w:p w14:paraId="156BB4F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部分课程内容未能及时反映行业技术迭代与职业能力要求，前沿性、应用性不足。课程体系与真实岗位任务、企业项目案例对接不够系统，影响学生就业适应能力。</w:t>
      </w:r>
    </w:p>
    <w:p w14:paraId="1B3AC06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（3）特色课程与高水平教学资源建设滞后</w:t>
      </w:r>
    </w:p>
    <w:p w14:paraId="2B16253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具有校本特色和区域影响力的“金课”、精品资源与规划教材数量偏少。校企合作开发课程与教学资源的深度不够，优质教学资源共建共享平台建设缓慢。</w:t>
      </w:r>
    </w:p>
    <w:p w14:paraId="16F7D7B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2.改进措施</w:t>
      </w:r>
    </w:p>
    <w:p w14:paraId="15839743">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（1）建立常态化专业自评与课程诊断机制</w:t>
      </w:r>
    </w:p>
    <w:p w14:paraId="55D5B94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制定并实施《本科专业自评实施办法》，设立涵盖师资结构、课程质量、实践条件、学业成果、就业质量及产业契合度等维度的评估指标体系。每年开展专业自我评估，形成“专业建设质量年度报告”，并向校内公开。评估结果作为专业动态调整、资源投入、招生计划制定的核心依据。对评估中发现的问题专业建立“黄、橙、红”三级预警，并配套实施针对性帮扶、限招或调整退出机制。</w:t>
      </w:r>
    </w:p>
    <w:p w14:paraId="71EE43E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（2）强化课程内容与产业需求的动态对接</w:t>
      </w:r>
    </w:p>
    <w:p w14:paraId="1EB327C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全面推行“课程内容更新责任制”，要求各专业核心课程每两年完成一轮基于行业标准与技术发展的内容系统性修订。依托“行业顾问委员会”，建立课程大纲联合审议机制，确保课程目标、教学内容与职业能力要求紧密对应。设立“真实项目进课堂”专项，支持将合作企业的实际工程问题、管理案例、设计任务转化为课程模块或综合实训项目。</w:t>
      </w:r>
    </w:p>
    <w:p w14:paraId="2F286E5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（3）构建系统化的课程质量保障与持续改进闭环</w:t>
      </w:r>
    </w:p>
    <w:p w14:paraId="61C96C7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全面实施基于“课程目标达成度”的评价制度，推动教师开展课程考核结果的定量分析与学情反思。完善“评价—反馈—改进—跟踪”管理流程，要求各课程组每学期提交《课程教学持续改进报告》，并纳入教学考核。激活基层教学组织功能，明确教研室、课程组在集体备课、教学研讨、资源建设中的主体责任与工作机制。</w:t>
      </w:r>
    </w:p>
    <w:p w14:paraId="09466C0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（4）推进特色课程体系与教学资源品牌化建设</w:t>
      </w:r>
    </w:p>
    <w:p w14:paraId="5943EF5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highlight w:val="yellow"/>
          <w:lang w:val="en-US" w:eastAsia="en-US"/>
        </w:rPr>
      </w:pPr>
      <w:r>
        <w:rPr>
          <w:rFonts w:hint="eastAsia" w:ascii="仿宋_GB2312" w:hAnsi="仿宋_GB2312" w:eastAsia="仿宋_GB2312" w:cs="仿宋_GB2312"/>
          <w:spacing w:val="-8"/>
          <w:sz w:val="32"/>
          <w:szCs w:val="32"/>
          <w:lang w:val="en-US" w:eastAsia="zh-CN"/>
        </w:rPr>
        <w:t>实施“一专一特”课程建设计划，每个专业重点打造2-3门深度融合产业特色、体现校本优势的核心课程。建设校级“数字化教学资源共建共享平台”，制定资源标准与激励政策，推动跨专业、跨集群合作开发虚拟仿真项目、案例库、习题集等优质资源。加强与行业领先企业、出版社的合作，共同开发应用型教材与在线课程，培育一批在区域内具有辨识度和影响力的教学资源品牌。</w:t>
      </w:r>
    </w:p>
    <w:p w14:paraId="7AB8939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lang w:val="en-US" w:eastAsia="en-US"/>
        </w:rPr>
      </w:pPr>
      <w:bookmarkStart w:id="57" w:name="_Toc1671401004"/>
      <w:bookmarkStart w:id="58" w:name="_Toc283950764"/>
      <w:r>
        <w:rPr>
          <w:rFonts w:hint="eastAsia" w:ascii="仿宋_GB2312" w:hAnsi="仿宋_GB2312" w:eastAsia="仿宋_GB2312" w:cs="仿宋_GB2312"/>
          <w:b/>
          <w:spacing w:val="-8"/>
          <w:sz w:val="32"/>
          <w:szCs w:val="32"/>
          <w:lang w:val="en-US" w:eastAsia="en-US"/>
        </w:rPr>
        <w:t>(</w:t>
      </w:r>
      <w:r>
        <w:rPr>
          <w:rFonts w:hint="eastAsia" w:ascii="仿宋_GB2312" w:hAnsi="仿宋_GB2312" w:eastAsia="仿宋_GB2312" w:cs="仿宋_GB2312"/>
          <w:b/>
          <w:spacing w:val="-8"/>
          <w:sz w:val="32"/>
          <w:szCs w:val="32"/>
          <w:lang w:val="en-US" w:eastAsia="zh-CN"/>
        </w:rPr>
        <w:t>二</w:t>
      </w:r>
      <w:r>
        <w:rPr>
          <w:rFonts w:hint="eastAsia" w:ascii="仿宋_GB2312" w:hAnsi="仿宋_GB2312" w:eastAsia="仿宋_GB2312" w:cs="仿宋_GB2312"/>
          <w:b/>
          <w:spacing w:val="-8"/>
          <w:sz w:val="32"/>
          <w:szCs w:val="32"/>
          <w:lang w:val="en-US" w:eastAsia="en-US"/>
        </w:rPr>
        <w:t>)师资与管理队伍建设需要进一步加强</w:t>
      </w:r>
      <w:bookmarkEnd w:id="57"/>
      <w:bookmarkEnd w:id="58"/>
    </w:p>
    <w:p w14:paraId="5000026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en-US"/>
        </w:rPr>
      </w:pPr>
      <w:r>
        <w:rPr>
          <w:rFonts w:hint="eastAsia" w:ascii="仿宋_GB2312" w:hAnsi="仿宋_GB2312" w:eastAsia="仿宋_GB2312" w:cs="仿宋_GB2312"/>
          <w:spacing w:val="-8"/>
          <w:sz w:val="32"/>
          <w:szCs w:val="32"/>
          <w:lang w:val="en-US" w:eastAsia="zh-CN"/>
        </w:rPr>
        <w:t>1.</w:t>
      </w:r>
      <w:r>
        <w:rPr>
          <w:rFonts w:hint="eastAsia" w:ascii="仿宋_GB2312" w:hAnsi="仿宋_GB2312" w:eastAsia="仿宋_GB2312" w:cs="仿宋_GB2312"/>
          <w:spacing w:val="-8"/>
          <w:sz w:val="32"/>
          <w:szCs w:val="32"/>
          <w:lang w:val="en-US" w:eastAsia="en-US"/>
        </w:rPr>
        <w:t>问题表现</w:t>
      </w:r>
    </w:p>
    <w:p w14:paraId="3A2BAF9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（1）师资总量总体上能满足要求，但外聘教师占比较高，教职工队伍呈现出新人多、年轻教师多的特点，师资结构优化的目标任务艰巨。</w:t>
      </w:r>
    </w:p>
    <w:p w14:paraId="58B4234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（2）教职工对新学校、新体制、新文化、新要求的认同感、归属感、参与度和热情度仍有待提升，广大干部“主动作为、善于作为”的自觉性和能力不足，年轻干部的管理能力较弱。</w:t>
      </w:r>
    </w:p>
    <w:p w14:paraId="1E00BF3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（3）高层次、高水平教师数量有限。学校高层次人才较少，高水平的学科和专业带头人匮乏，缺乏有影响力的科研创新团队。</w:t>
      </w:r>
    </w:p>
    <w:p w14:paraId="6A37BEDF">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en-US"/>
        </w:rPr>
      </w:pPr>
      <w:r>
        <w:rPr>
          <w:rFonts w:hint="eastAsia" w:ascii="仿宋_GB2312" w:hAnsi="仿宋_GB2312" w:eastAsia="仿宋_GB2312" w:cs="仿宋_GB2312"/>
          <w:spacing w:val="-8"/>
          <w:sz w:val="32"/>
          <w:szCs w:val="32"/>
          <w:lang w:val="en-US" w:eastAsia="zh-CN"/>
        </w:rPr>
        <w:t>（4）“双师型”教师数量不足。学校具备专业（行业）职业资格和任职经历的“双师型”教师数量不多，难以满足应用型人才培养的需求具有一定难度。</w:t>
      </w:r>
    </w:p>
    <w:p w14:paraId="17A2BD3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2.改进措施</w:t>
      </w:r>
    </w:p>
    <w:p w14:paraId="49670CE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进一步强化师德师风建设，优化并完善人事制度，持续引进紧缺型、重点学科和高层次人才，着重提升人才队伍的创新能力与实践能力，重点推进八项工程。</w:t>
      </w:r>
    </w:p>
    <w:p w14:paraId="46788DB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师德师风建设工程，建立学术道德承诺制度、全员师德师风培训制度、学生和学生家长对教师师德评价制度，全员签订师德师风承诺书；完善奖罚机制，坚持师德师风考核与业务业绩考核并重，在教师聘用、专业技术职务评聘等方面实行“一票否决制”。</w:t>
      </w:r>
    </w:p>
    <w:p w14:paraId="5D6C96C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人才高地建设工程，依托重点学科/专业群、特色专业、精品课程、重大项目，建设一支学术水平高、技术能力强的专业（群）带头人队伍。通过引进与培养，提高各类人才计划人数占专任教师的比例，并实现各种资源要素主要向任务集中，同时向优秀人才（团队）集中的转变。</w:t>
      </w:r>
    </w:p>
    <w:p w14:paraId="02E2F6C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3）兼职引智工程，引入社会资源，聘任行业人才、企业高管、技能拿手等校外专业人员，建立兼职教师数据库，科学设计工作目标任务，加强兼职教师教学过程和教学效果的管理。通过整合社会资源，合理吸纳一定数量的兼职教师，参与制定人才培养方案、教学计划、课程体系、实训基地、考核评价，重点承担实训课程、毕业实习、校企横向科研等任务。</w:t>
      </w:r>
    </w:p>
    <w:p w14:paraId="2D69F1B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4）教师发展工程，加强教师发展中心建设，完善各项培训、进修和学习制度。鼓励教师国内访学、国外（境外）访学、企业见习等专业发展计划。继续实行“下企业挂职锻炼”制度，加强“双师”队伍建设。针对管理干部、辅导员、行政人员等不同对象，进行针对性培训。</w:t>
      </w:r>
    </w:p>
    <w:p w14:paraId="41B4118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（5）实施“青苗工程”。联合教务处为每位青年教师配备资深教师作为导师，由导师指导青年教师的教学工作，帮助他们快速适应教学环境，掌握教学方法和技巧，提升教学能力。</w:t>
      </w:r>
    </w:p>
    <w:p w14:paraId="1C02677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6）思政人才建设工程，推动辅导员队伍和高校思想理论课教师队伍专业化建设，建立符合辅导员和思政课教师特点的职业准入、工作考核、奖惩激励机制和职业道德规范。鼓励和支持专职辅导员攻读相关专业学位，成为思想政治教育工作方面的专门人才。逐步完善并坚持辅导员专业化、职业化道路，培养一批业务精湛的专业人才，如心理咨询师、家庭教育指导师、就业指导师等。</w:t>
      </w:r>
    </w:p>
    <w:p w14:paraId="7ACEBFD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7）实验队伍建设工程，优化资源配置，加强实验技术创新团队建设，以带动实验技术人员整体水平的提高。支持实验技术队伍人员跨地区、跨学校、跨专业开展交流合作、访学进修、技术培训，开阔实验技术队伍人员的眼界和思路，提升实践技术能力。结合学校专业建设和师资发展实际，实施职称改革，出台和完善实验教师职称评审办法，鼓励教师参评实验序列职称，逐步打造一支高水平实验教师队伍。</w:t>
      </w:r>
    </w:p>
    <w:p w14:paraId="152C98D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8）持续推进师资结构优化工程，加大对高层次人才、高职称人才、博士、紧缺型人才以及重点学科人才的引进力度。积极探索集团教育板块内“一体化设计、差异化发展”的人才建设路径，实施两校师资共建（双聘）模式。优化并健全人才引进政策，增强赣新校区对人才的吸引力，稳固现有的双高人才队伍，维持现有高职称教师比例的稳定，提高双师型教师的占比。</w:t>
      </w:r>
    </w:p>
    <w:p w14:paraId="7F74156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lang w:val="en-US" w:eastAsia="zh-CN"/>
        </w:rPr>
      </w:pPr>
      <w:r>
        <w:rPr>
          <w:rFonts w:hint="eastAsia" w:ascii="仿宋_GB2312" w:hAnsi="仿宋_GB2312" w:eastAsia="仿宋_GB2312" w:cs="仿宋_GB2312"/>
          <w:b/>
          <w:spacing w:val="-8"/>
          <w:sz w:val="32"/>
          <w:szCs w:val="32"/>
          <w:lang w:val="en-US" w:eastAsia="zh-CN"/>
        </w:rPr>
        <w:t>（三）教学改革的力度与深度有待加强</w:t>
      </w:r>
    </w:p>
    <w:p w14:paraId="3444935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1.存在问题</w:t>
      </w:r>
    </w:p>
    <w:p w14:paraId="4AF2925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（1）当前教学改革多以单个课程或项目为单位进行，缺乏全校范围内的系统性规划和协调，导致改革成果难以形成合力，影响整体教学效果。</w:t>
      </w:r>
    </w:p>
    <w:p w14:paraId="5CE7AE81">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（2）部分教师对教学改革持观望态度，缺乏主动参与和创新的积极性，导致改革措施执行不力，效果有限。</w:t>
      </w:r>
    </w:p>
    <w:p w14:paraId="261DDB45">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（3）学生在教学改革中的主体地位未得到充分体现，影响了改革的针对性和实效性。</w:t>
      </w:r>
    </w:p>
    <w:p w14:paraId="49256A0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2.改进的措施</w:t>
      </w:r>
    </w:p>
    <w:p w14:paraId="49F9DEB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（1）系统规划教学改革，构建多元评价体系</w:t>
      </w:r>
    </w:p>
    <w:p w14:paraId="531F84C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制定全校性的教学改革规划，明确改革目标、路径和措施，确保改革的系统性和连贯性。加强对教师的培训和教育，提高其现代教育理念和教学技能，激发其参与教学改革的积极性和主动性。建立多元化、全面的学生评价体系，注重对学生创新能力、实践能力的考察，为教学改革提供有力支撑。建立健全学生参与教学改革的机制，充分听取和吸纳学生的意见和建议，确保改革更加贴近学生需求。</w:t>
      </w:r>
    </w:p>
    <w:p w14:paraId="29375784">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（2）改革人才培养模式，提高人才培养质量</w:t>
      </w:r>
    </w:p>
    <w:p w14:paraId="2C67151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紧紧围绕应用型人才培养目标，坚持“学生中心、产出导向、持续改进”理念，持续优化人才培养方案、深化人才培养模式改革。全面提质智慧教育平台建设，完善信息化教学资源建设，促进信息技术与教育教学深度融合；发挥质量保障体系核心作用，着力提升课堂教学质量；借鉴国内领先的实验教学中心建设，深入推进实践教学改革，丰富实践教学方式和途径，大力发展虚拟仿真实验项目，全面推进校内外实践基地建设，综合性、设计性、创新性实验占比不低于70%，学生进实验室、进团队、进课题比例达到100%；打造一批教学改革成效显著、特色鲜明、创新性强、示范性广的高水平教学成果。</w:t>
      </w:r>
    </w:p>
    <w:p w14:paraId="54BFFB8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（3）强化学风建设，构建浓厚学风</w:t>
      </w:r>
    </w:p>
    <w:p w14:paraId="6386357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建立学校与学院联动、学院与专业联动、教务与学工联动、班主任与辅导员联动的“四联动”学风建设长效机制；充分发挥督学导学作用，提高督学导学成效，大幅提升学生想学爱学主动性与积极性；落实班主任/育人导师制度，学校管理干部参与学生管理工作，创新学生管理模式，促进全员育人工作体系构建。</w:t>
      </w:r>
    </w:p>
    <w:p w14:paraId="4DD5DFF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（4）注重因材施教，强化分类指导</w:t>
      </w:r>
    </w:p>
    <w:p w14:paraId="575D4DA6">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实施“高质量就业”工程，通过职业生涯教育前置、就业体验前置、职业发展大数据等就业育人环节，提高就业率及就业质量，促进学生多元发展，强化学生内生动力培养，落实考研导师制度，加强过程性指导，做好考研服务保障。</w:t>
      </w:r>
    </w:p>
    <w:p w14:paraId="4AE1B19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11" w:firstLineChars="200"/>
        <w:textAlignment w:val="auto"/>
        <w:rPr>
          <w:rFonts w:hint="eastAsia" w:ascii="仿宋_GB2312" w:hAnsi="仿宋_GB2312" w:eastAsia="仿宋_GB2312" w:cs="仿宋_GB2312"/>
          <w:b/>
          <w:spacing w:val="-8"/>
          <w:sz w:val="32"/>
          <w:szCs w:val="32"/>
          <w:lang w:val="en-US" w:eastAsia="en-US"/>
        </w:rPr>
      </w:pPr>
      <w:bookmarkStart w:id="59" w:name="_Toc1868268520"/>
      <w:bookmarkStart w:id="60" w:name="_Toc62492849"/>
      <w:r>
        <w:rPr>
          <w:rFonts w:hint="eastAsia" w:ascii="仿宋_GB2312" w:hAnsi="仿宋_GB2312" w:eastAsia="仿宋_GB2312" w:cs="仿宋_GB2312"/>
          <w:b/>
          <w:spacing w:val="-8"/>
          <w:sz w:val="32"/>
          <w:szCs w:val="32"/>
          <w:lang w:val="en-US" w:eastAsia="zh-CN"/>
        </w:rPr>
        <w:t>（四）</w:t>
      </w:r>
      <w:r>
        <w:rPr>
          <w:rFonts w:hint="eastAsia" w:ascii="仿宋_GB2312" w:hAnsi="仿宋_GB2312" w:eastAsia="仿宋_GB2312" w:cs="仿宋_GB2312"/>
          <w:b/>
          <w:spacing w:val="-8"/>
          <w:sz w:val="32"/>
          <w:szCs w:val="32"/>
          <w:lang w:val="en-US" w:eastAsia="en-US"/>
        </w:rPr>
        <w:t>产教融合有待进一步推进</w:t>
      </w:r>
      <w:bookmarkEnd w:id="59"/>
      <w:bookmarkEnd w:id="60"/>
    </w:p>
    <w:p w14:paraId="1740DA1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1.存在问题</w:t>
      </w:r>
    </w:p>
    <w:p w14:paraId="224D907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（1）产教融合深度不足，合作模式较为表层</w:t>
      </w:r>
    </w:p>
    <w:p w14:paraId="5FFBE5D7">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现有校企合作多集中于学生实习、专家讲座等传统形式，在专业规划、课程开发、技术攻关、成果转化等核心环节的共建共研不足。合作缺乏稳定、深入、可持续的机制保障，难以形成供需紧密对接、资源高效流动的共生格局。</w:t>
      </w:r>
    </w:p>
    <w:p w14:paraId="43EA9D8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（2）校企协同运行机制不健全，权责利不够明晰</w:t>
      </w:r>
    </w:p>
    <w:p w14:paraId="6C2E343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缺乏系统性的校企合作管理制度与标准流程，在组织架构、人员互聘、资源投入、知识产权归属、成本分担与收益分配等方面尚未形成成熟的运行与保障机制。合作项目的落地执行、过程监控与成效评估体系不完善。</w:t>
      </w:r>
    </w:p>
    <w:p w14:paraId="30849CBA">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（3）实践教学环节的产教协同管理薄弱</w:t>
      </w:r>
    </w:p>
    <w:p w14:paraId="5FC5C67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实习实训基地的建设与管理较为松散，企业方参与实践教学设计的深度不够，部分岗位实习内容与专业培养目标契合度不高，存在“重安排、轻培养”的现象。对学生实习过程的有效指导、监督与多元评价不足。</w:t>
      </w:r>
    </w:p>
    <w:p w14:paraId="28C27D8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（4）“双师型”教师队伍建设滞后于融合需求</w:t>
      </w:r>
    </w:p>
    <w:p w14:paraId="06A21321">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兼具深厚产业背景与出色教学能力的“双师型”教师总量不足，且持续发展机制不健全。企业技术与管理人才向教学岗位流动的渠道不畅，校内教师深入企业实践锻炼的激励与保障措施有待强化。</w:t>
      </w:r>
    </w:p>
    <w:p w14:paraId="5D477E5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2.改进措施</w:t>
      </w:r>
    </w:p>
    <w:p w14:paraId="7F0CA350">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（1）构建“深度融合、实体运行”的产教协同长效机制</w:t>
      </w:r>
    </w:p>
    <w:p w14:paraId="7D49FF2B">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推行“校企共建共管二级学院（或产业学院）”模式，与区域龙头或骨干企业深度合作，在治理结构、专业建设、人才培养、基地共建等方面形成紧密型共同体。明确双方权责，设立合作发展基金，建立常态化议事决策机制。围绕四大专业集群，联合企业共同组建“产教融合联盟”，定期发布产业人才需求与技术攻关清单，共同开展订单培养、技术培训、项目研发等实质性合作。</w:t>
      </w:r>
    </w:p>
    <w:p w14:paraId="26C3424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（2）系统化设计并规范校企合作全过程管理</w:t>
      </w:r>
    </w:p>
    <w:p w14:paraId="0E663A2D">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8"/>
          <w:sz w:val="32"/>
          <w:szCs w:val="32"/>
          <w:lang w:val="en-US" w:eastAsia="zh-CN"/>
        </w:rPr>
        <w:t>进一步完善</w:t>
      </w:r>
      <w:r>
        <w:rPr>
          <w:rFonts w:hint="default" w:ascii="仿宋_GB2312" w:hAnsi="仿宋_GB2312" w:eastAsia="仿宋_GB2312" w:cs="仿宋_GB2312"/>
          <w:spacing w:val="-8"/>
          <w:sz w:val="32"/>
          <w:szCs w:val="32"/>
          <w:lang w:val="en-US" w:eastAsia="zh-CN"/>
        </w:rPr>
        <w:t>《校企合作管理办法》，标准化合作流程，规范从项目立项、协议签订、过程实施到绩效评估的全周期管理。开发“校企合作项目管理平台”，实现项目信息化、透明化运作。建立校企合作项目库，实施分级分类管理。重点扶持与区域主导产业契合度高、共建内容实、预期成效好的优质合作项目，加大资源投入与政策倾斜。</w:t>
      </w:r>
    </w:p>
    <w:p w14:paraId="793A9F88">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（3）提升实践教学环节的产教协同育人质量</w:t>
      </w:r>
    </w:p>
    <w:p w14:paraId="2C9126FC">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与企业共同制定实习实训教学标准、考核评价标准，开发贴合岗位能力的实训项目与手册。推行“企业导师+校内导师”双导师制，明确企业导师的职责与报酬，强化实习过程指导。建设一批“产教融合型示范基地”，不仅满足学生实习，更拓展为教师企业实践、员工培训、技术</w:t>
      </w:r>
      <w:bookmarkStart w:id="61" w:name="_GoBack"/>
      <w:bookmarkEnd w:id="61"/>
      <w:r>
        <w:rPr>
          <w:rFonts w:hint="default" w:ascii="仿宋_GB2312" w:hAnsi="仿宋_GB2312" w:eastAsia="仿宋_GB2312" w:cs="仿宋_GB2312"/>
          <w:spacing w:val="-8"/>
          <w:sz w:val="32"/>
          <w:szCs w:val="32"/>
          <w:lang w:val="en-US" w:eastAsia="zh-CN"/>
        </w:rPr>
        <w:t>研发的综合平台。引入企业真实生产环境与管理文化，营造沉浸式育人场景。</w:t>
      </w:r>
    </w:p>
    <w:p w14:paraId="10B7CA79">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（4）强化“双向流动、能力复合”的师资队伍建设</w:t>
      </w:r>
    </w:p>
    <w:p w14:paraId="5A9679CE">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default" w:ascii="仿宋_GB2312" w:hAnsi="仿宋_GB2312" w:eastAsia="仿宋_GB2312" w:cs="仿宋_GB2312"/>
          <w:spacing w:val="-8"/>
          <w:sz w:val="32"/>
          <w:szCs w:val="32"/>
          <w:lang w:val="en-US" w:eastAsia="zh-CN"/>
        </w:rPr>
      </w:pPr>
      <w:r>
        <w:rPr>
          <w:rFonts w:hint="default" w:ascii="仿宋_GB2312" w:hAnsi="仿宋_GB2312" w:eastAsia="仿宋_GB2312" w:cs="仿宋_GB2312"/>
          <w:spacing w:val="-8"/>
          <w:sz w:val="32"/>
          <w:szCs w:val="32"/>
          <w:lang w:val="en-US" w:eastAsia="zh-CN"/>
        </w:rPr>
        <w:t>实施“产业教师（导师）特聘岗位计划”，设立柔性引才机制，吸引企业高级技术与管理人才来校承担教学、指导毕业设计、共建课程。完善其工作量认定与报酬支付办法。</w:t>
      </w:r>
    </w:p>
    <w:p w14:paraId="53065B62">
      <w:pPr>
        <w:keepNext w:val="0"/>
        <w:keepLines w:val="0"/>
        <w:pageBreakBefore w:val="0"/>
        <w:widowControl w:val="0"/>
        <w:kinsoku/>
        <w:wordWrap/>
        <w:overflowPunct/>
        <w:topLinePunct w:val="0"/>
        <w:autoSpaceDE/>
        <w:autoSpaceDN/>
        <w:bidi w:val="0"/>
        <w:adjustRightInd w:val="0"/>
        <w:snapToGrid w:val="0"/>
        <w:spacing w:afterAutospacing="0" w:line="560" w:lineRule="exact"/>
        <w:ind w:firstLine="608" w:firstLineChars="200"/>
        <w:textAlignment w:val="auto"/>
        <w:rPr>
          <w:rFonts w:hint="eastAsia" w:ascii="仿宋_GB2312" w:hAnsi="仿宋_GB2312" w:eastAsia="仿宋_GB2312" w:cs="仿宋_GB2312"/>
          <w:sz w:val="32"/>
          <w:szCs w:val="32"/>
        </w:rPr>
      </w:pPr>
      <w:r>
        <w:rPr>
          <w:rFonts w:hint="default" w:ascii="仿宋_GB2312" w:hAnsi="仿宋_GB2312" w:eastAsia="仿宋_GB2312" w:cs="仿宋_GB2312"/>
          <w:spacing w:val="-8"/>
          <w:sz w:val="32"/>
          <w:szCs w:val="32"/>
          <w:lang w:val="en-US" w:eastAsia="zh-CN"/>
        </w:rPr>
        <w:t>严格执行专业教师定期赴企业实践制度，并将其与职称晋升、评优评先挂钩。设立“教师实践能力提升专项”，支持教师参与企业技术服务和横向课题，提升工程实践与产业服务能力。建立“双师型”教师认证、培训与激励体系，与合作企业共建“双师素质培训基地”，系统提升教师的产业认知与实践教学能力。</w:t>
      </w:r>
    </w:p>
    <w:sectPr>
      <w:headerReference r:id="rId3" w:type="default"/>
      <w:footerReference r:id="rId4" w:type="default"/>
      <w:pgSz w:w="11906" w:h="16838"/>
      <w:pgMar w:top="2098" w:right="1587" w:bottom="187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FD88C8B-D374-4472-AE6F-09018C80642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panose1 w:val="02000000000000000000"/>
    <w:charset w:val="86"/>
    <w:family w:val="auto"/>
    <w:pitch w:val="default"/>
    <w:sig w:usb0="00000001" w:usb1="08000000" w:usb2="00000000" w:usb3="00000000" w:csb0="00040000" w:csb1="00000000"/>
    <w:embedRegular r:id="rId2" w:fontKey="{9F956C9D-9C00-47B9-B62C-61D406F34E50}"/>
  </w:font>
  <w:font w:name="仿宋_GB2312">
    <w:panose1 w:val="02010609030101010101"/>
    <w:charset w:val="86"/>
    <w:family w:val="modern"/>
    <w:pitch w:val="default"/>
    <w:sig w:usb0="00000001" w:usb1="080E0000" w:usb2="00000000" w:usb3="00000000" w:csb0="00040000" w:csb1="00000000"/>
    <w:embedRegular r:id="rId3" w:fontKey="{5CF91F58-6472-4EAE-B5B8-28D8F32094D9}"/>
  </w:font>
  <w:font w:name="楷体">
    <w:panose1 w:val="02010609060101010101"/>
    <w:charset w:val="86"/>
    <w:family w:val="auto"/>
    <w:pitch w:val="default"/>
    <w:sig w:usb0="800002BF" w:usb1="38CF7CFA" w:usb2="00000016" w:usb3="00000000" w:csb0="00040001" w:csb1="00000000"/>
    <w:embedRegular r:id="rId4" w:fontKey="{9BBDE7B2-C988-493C-AB5A-BF80A7AEE3CD}"/>
  </w:font>
  <w:font w:name="仿宋">
    <w:panose1 w:val="02010609060101010101"/>
    <w:charset w:val="86"/>
    <w:family w:val="modern"/>
    <w:pitch w:val="default"/>
    <w:sig w:usb0="800002BF" w:usb1="38CF7CFA" w:usb2="00000016" w:usb3="00000000" w:csb0="00040001" w:csb1="00000000"/>
    <w:embedRegular r:id="rId5" w:fontKey="{425C39D9-47F9-478E-842D-EE392A76296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5F902">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540F2C">
                          <w:pPr>
                            <w:pStyle w:val="6"/>
                          </w:pPr>
                          <w:r>
                            <w:fldChar w:fldCharType="begin"/>
                          </w:r>
                          <w:r>
                            <w:instrText xml:space="preserve"> PAGE  \* MERGEFORMAT </w:instrText>
                          </w:r>
                          <w:r>
                            <w:fldChar w:fldCharType="separate"/>
                          </w:r>
                          <w:r>
                            <w:t>12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7540F2C">
                    <w:pPr>
                      <w:pStyle w:val="6"/>
                    </w:pPr>
                    <w:r>
                      <w:fldChar w:fldCharType="begin"/>
                    </w:r>
                    <w:r>
                      <w:instrText xml:space="preserve"> PAGE  \* MERGEFORMAT </w:instrText>
                    </w:r>
                    <w:r>
                      <w:fldChar w:fldCharType="separate"/>
                    </w:r>
                    <w:r>
                      <w:t>12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F0215">
    <w:pPr>
      <w:pStyle w:val="7"/>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RiYWZlMjUyZjRmNmNmNjJhNTBmMzcxYTlhN2ZkNzAifQ=="/>
  </w:docVars>
  <w:rsids>
    <w:rsidRoot w:val="00000000"/>
    <w:rsid w:val="00530751"/>
    <w:rsid w:val="00846033"/>
    <w:rsid w:val="008A3B6F"/>
    <w:rsid w:val="00C11035"/>
    <w:rsid w:val="01D1384B"/>
    <w:rsid w:val="01EE5E5A"/>
    <w:rsid w:val="02885EF8"/>
    <w:rsid w:val="02D7069C"/>
    <w:rsid w:val="02EA3B0A"/>
    <w:rsid w:val="03190CB5"/>
    <w:rsid w:val="03674364"/>
    <w:rsid w:val="03993BA4"/>
    <w:rsid w:val="05560BB2"/>
    <w:rsid w:val="05756B29"/>
    <w:rsid w:val="078D5035"/>
    <w:rsid w:val="07BF1175"/>
    <w:rsid w:val="08240530"/>
    <w:rsid w:val="097148FC"/>
    <w:rsid w:val="0A486323"/>
    <w:rsid w:val="0A4A209B"/>
    <w:rsid w:val="0A595695"/>
    <w:rsid w:val="0ADF27E4"/>
    <w:rsid w:val="0B3C7C36"/>
    <w:rsid w:val="0B47400B"/>
    <w:rsid w:val="0B7F4A99"/>
    <w:rsid w:val="0B902FEB"/>
    <w:rsid w:val="0BBF7FDE"/>
    <w:rsid w:val="0D350DE1"/>
    <w:rsid w:val="0D4E3C51"/>
    <w:rsid w:val="0DC87FE5"/>
    <w:rsid w:val="10E70644"/>
    <w:rsid w:val="1345672F"/>
    <w:rsid w:val="142D5012"/>
    <w:rsid w:val="14A14FAE"/>
    <w:rsid w:val="152139F9"/>
    <w:rsid w:val="15A9411A"/>
    <w:rsid w:val="15F5110D"/>
    <w:rsid w:val="15FA0DB1"/>
    <w:rsid w:val="163B25A9"/>
    <w:rsid w:val="165D34C6"/>
    <w:rsid w:val="177A1AE6"/>
    <w:rsid w:val="17920BDE"/>
    <w:rsid w:val="1926137E"/>
    <w:rsid w:val="194D1260"/>
    <w:rsid w:val="197B401F"/>
    <w:rsid w:val="1B4641B9"/>
    <w:rsid w:val="1B9413C8"/>
    <w:rsid w:val="1BB8109B"/>
    <w:rsid w:val="1C537E0A"/>
    <w:rsid w:val="1C9636A0"/>
    <w:rsid w:val="1D2A0352"/>
    <w:rsid w:val="1FB91191"/>
    <w:rsid w:val="20401B1F"/>
    <w:rsid w:val="20E71F9A"/>
    <w:rsid w:val="215A6C10"/>
    <w:rsid w:val="220365CB"/>
    <w:rsid w:val="22806C2B"/>
    <w:rsid w:val="23136E97"/>
    <w:rsid w:val="23C814E1"/>
    <w:rsid w:val="24262DDA"/>
    <w:rsid w:val="24315811"/>
    <w:rsid w:val="249266C1"/>
    <w:rsid w:val="251E1D03"/>
    <w:rsid w:val="25861EE8"/>
    <w:rsid w:val="26D529F9"/>
    <w:rsid w:val="26D72E3B"/>
    <w:rsid w:val="27773922"/>
    <w:rsid w:val="27EF7487"/>
    <w:rsid w:val="28C27214"/>
    <w:rsid w:val="2944442E"/>
    <w:rsid w:val="2A3144E5"/>
    <w:rsid w:val="2A414995"/>
    <w:rsid w:val="2AF754D0"/>
    <w:rsid w:val="2C7333ED"/>
    <w:rsid w:val="2CDF1273"/>
    <w:rsid w:val="2D15504B"/>
    <w:rsid w:val="2D185A94"/>
    <w:rsid w:val="2D551E03"/>
    <w:rsid w:val="2DB0393B"/>
    <w:rsid w:val="30E958BB"/>
    <w:rsid w:val="31353DB5"/>
    <w:rsid w:val="317F6F50"/>
    <w:rsid w:val="32555606"/>
    <w:rsid w:val="343B4223"/>
    <w:rsid w:val="348C0A37"/>
    <w:rsid w:val="35BF0085"/>
    <w:rsid w:val="364F4412"/>
    <w:rsid w:val="37893954"/>
    <w:rsid w:val="37CE0A6F"/>
    <w:rsid w:val="382470A9"/>
    <w:rsid w:val="38A25C2D"/>
    <w:rsid w:val="395A0256"/>
    <w:rsid w:val="3A6B6098"/>
    <w:rsid w:val="3C733770"/>
    <w:rsid w:val="3CBA5E77"/>
    <w:rsid w:val="3CF6153F"/>
    <w:rsid w:val="3D077905"/>
    <w:rsid w:val="3E8D5AD7"/>
    <w:rsid w:val="3F6935C9"/>
    <w:rsid w:val="408A49C4"/>
    <w:rsid w:val="414A0333"/>
    <w:rsid w:val="41B4781F"/>
    <w:rsid w:val="41EA14A0"/>
    <w:rsid w:val="41FE425C"/>
    <w:rsid w:val="421107CE"/>
    <w:rsid w:val="425F778B"/>
    <w:rsid w:val="42864910"/>
    <w:rsid w:val="42F1693B"/>
    <w:rsid w:val="45F11042"/>
    <w:rsid w:val="46244F73"/>
    <w:rsid w:val="469D60DD"/>
    <w:rsid w:val="46AE2A8F"/>
    <w:rsid w:val="479B74B7"/>
    <w:rsid w:val="48407086"/>
    <w:rsid w:val="486C4389"/>
    <w:rsid w:val="49526F07"/>
    <w:rsid w:val="4A1E071C"/>
    <w:rsid w:val="4A4F27DB"/>
    <w:rsid w:val="4A5E38F0"/>
    <w:rsid w:val="4C1F6955"/>
    <w:rsid w:val="4C80179E"/>
    <w:rsid w:val="4C966E11"/>
    <w:rsid w:val="4DE63ABF"/>
    <w:rsid w:val="4E34390A"/>
    <w:rsid w:val="4EA15E6C"/>
    <w:rsid w:val="502A758C"/>
    <w:rsid w:val="505521CD"/>
    <w:rsid w:val="505A5524"/>
    <w:rsid w:val="50812FC2"/>
    <w:rsid w:val="50EF5BB6"/>
    <w:rsid w:val="51387B25"/>
    <w:rsid w:val="513F2F66"/>
    <w:rsid w:val="51844777"/>
    <w:rsid w:val="52CE18CD"/>
    <w:rsid w:val="52F97B17"/>
    <w:rsid w:val="541E62F4"/>
    <w:rsid w:val="547937D0"/>
    <w:rsid w:val="54A7083C"/>
    <w:rsid w:val="54E251F8"/>
    <w:rsid w:val="55983392"/>
    <w:rsid w:val="576B5B79"/>
    <w:rsid w:val="589C0EF2"/>
    <w:rsid w:val="58BB6A87"/>
    <w:rsid w:val="598B1A20"/>
    <w:rsid w:val="5A274937"/>
    <w:rsid w:val="5A51252E"/>
    <w:rsid w:val="5AB32912"/>
    <w:rsid w:val="5AFE7AC5"/>
    <w:rsid w:val="5B2F01EA"/>
    <w:rsid w:val="5B894E52"/>
    <w:rsid w:val="5C5123E2"/>
    <w:rsid w:val="5D35532A"/>
    <w:rsid w:val="5E053485"/>
    <w:rsid w:val="5E5F66B1"/>
    <w:rsid w:val="5FEF619A"/>
    <w:rsid w:val="6025519F"/>
    <w:rsid w:val="607A48E9"/>
    <w:rsid w:val="60AB0410"/>
    <w:rsid w:val="60FD6695"/>
    <w:rsid w:val="61BC02FE"/>
    <w:rsid w:val="61FD7344"/>
    <w:rsid w:val="62C03E1E"/>
    <w:rsid w:val="633F2F95"/>
    <w:rsid w:val="63E35B7B"/>
    <w:rsid w:val="645111D2"/>
    <w:rsid w:val="64E9731B"/>
    <w:rsid w:val="64F57466"/>
    <w:rsid w:val="65764C68"/>
    <w:rsid w:val="669261CC"/>
    <w:rsid w:val="68757459"/>
    <w:rsid w:val="688A6A61"/>
    <w:rsid w:val="691A394B"/>
    <w:rsid w:val="69306F1A"/>
    <w:rsid w:val="6965127B"/>
    <w:rsid w:val="696C75A4"/>
    <w:rsid w:val="69BC4710"/>
    <w:rsid w:val="69DD77FF"/>
    <w:rsid w:val="6A3F7D1E"/>
    <w:rsid w:val="6A8E79C2"/>
    <w:rsid w:val="6B6B5D57"/>
    <w:rsid w:val="6C3C3CF4"/>
    <w:rsid w:val="6E2B772C"/>
    <w:rsid w:val="6EF35525"/>
    <w:rsid w:val="70A17639"/>
    <w:rsid w:val="710F044A"/>
    <w:rsid w:val="71542301"/>
    <w:rsid w:val="715A093B"/>
    <w:rsid w:val="7170166B"/>
    <w:rsid w:val="724A5396"/>
    <w:rsid w:val="72800D34"/>
    <w:rsid w:val="72BA43E6"/>
    <w:rsid w:val="738D1AFA"/>
    <w:rsid w:val="74005D2C"/>
    <w:rsid w:val="74016DBD"/>
    <w:rsid w:val="740C6EC3"/>
    <w:rsid w:val="746F2FAE"/>
    <w:rsid w:val="74A74BC7"/>
    <w:rsid w:val="74B83FAC"/>
    <w:rsid w:val="74BB2697"/>
    <w:rsid w:val="7524023C"/>
    <w:rsid w:val="75CB017F"/>
    <w:rsid w:val="75EF4E90"/>
    <w:rsid w:val="76206C56"/>
    <w:rsid w:val="76932EBD"/>
    <w:rsid w:val="79714BA8"/>
    <w:rsid w:val="7A8C07B1"/>
    <w:rsid w:val="7A8D3245"/>
    <w:rsid w:val="7B8155C3"/>
    <w:rsid w:val="7BB646A4"/>
    <w:rsid w:val="7D1E5D0A"/>
    <w:rsid w:val="7D9049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1"/>
    <w:pPr>
      <w:spacing w:before="55" w:line="240" w:lineRule="auto"/>
      <w:ind w:left="1100" w:firstLine="0" w:firstLineChars="0"/>
      <w:jc w:val="left"/>
      <w:outlineLvl w:val="1"/>
    </w:pPr>
    <w:rPr>
      <w:rFonts w:eastAsia="黑体"/>
      <w:sz w:val="30"/>
      <w:szCs w:val="28"/>
    </w:rPr>
  </w:style>
  <w:style w:type="paragraph" w:styleId="3">
    <w:name w:val="heading 3"/>
    <w:basedOn w:val="1"/>
    <w:next w:val="1"/>
    <w:unhideWhenUsed/>
    <w:qFormat/>
    <w:uiPriority w:val="0"/>
    <w:pPr>
      <w:keepNext/>
      <w:keepLines/>
      <w:spacing w:beforeLines="0" w:beforeAutospacing="0" w:afterLines="0" w:afterAutospacing="0" w:line="540" w:lineRule="exact"/>
      <w:ind w:firstLine="640" w:firstLineChars="200"/>
      <w:jc w:val="left"/>
      <w:outlineLvl w:val="2"/>
    </w:pPr>
    <w:rPr>
      <w:b/>
    </w:rPr>
  </w:style>
  <w:style w:type="paragraph" w:styleId="4">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semiHidden/>
    <w:unhideWhenUsed/>
    <w:qFormat/>
    <w:uiPriority w:val="99"/>
    <w:pPr>
      <w:spacing w:after="120"/>
    </w:pPr>
  </w:style>
  <w:style w:type="paragraph" w:styleId="6">
    <w:name w:val="footer"/>
    <w:basedOn w:val="1"/>
    <w:unhideWhenUsed/>
    <w:qFormat/>
    <w:uiPriority w:val="99"/>
    <w:pPr>
      <w:tabs>
        <w:tab w:val="center" w:pos="4153"/>
        <w:tab w:val="right" w:pos="8306"/>
      </w:tabs>
      <w:snapToGrid w:val="0"/>
      <w:jc w:val="left"/>
    </w:pPr>
    <w:rPr>
      <w:rFonts w:ascii="Calibri" w:hAnsi="Calibri"/>
      <w:kern w:val="0"/>
      <w:sz w:val="18"/>
      <w:szCs w:val="18"/>
    </w:rPr>
  </w:style>
  <w:style w:type="paragraph" w:styleId="7">
    <w:name w:val="header"/>
    <w:basedOn w:val="1"/>
    <w:unhideWhenUsed/>
    <w:qFormat/>
    <w:uiPriority w:val="99"/>
    <w:pPr>
      <w:pBdr>
        <w:bottom w:val="single" w:color="auto" w:sz="6" w:space="1"/>
      </w:pBdr>
      <w:tabs>
        <w:tab w:val="center" w:pos="4153"/>
        <w:tab w:val="right" w:pos="8306"/>
      </w:tabs>
      <w:snapToGrid w:val="0"/>
      <w:jc w:val="center"/>
    </w:pPr>
    <w:rPr>
      <w:rFonts w:ascii="Calibri" w:hAnsi="Calibri"/>
      <w:kern w:val="0"/>
      <w:sz w:val="18"/>
      <w:szCs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Hyperlink"/>
    <w:basedOn w:val="11"/>
    <w:qFormat/>
    <w:uiPriority w:val="0"/>
    <w:rPr>
      <w:color w:val="0000FF"/>
      <w:u w:val="single"/>
    </w:rPr>
  </w:style>
  <w:style w:type="paragraph" w:styleId="14">
    <w:name w:val="List Paragraph"/>
    <w:basedOn w:val="1"/>
    <w:qFormat/>
    <w:uiPriority w:val="34"/>
    <w:pPr>
      <w:ind w:firstLine="420" w:firstLineChars="200"/>
    </w:pPr>
  </w:style>
  <w:style w:type="character" w:customStyle="1" w:styleId="15">
    <w:name w:val="font181"/>
    <w:qFormat/>
    <w:uiPriority w:val="0"/>
    <w:rPr>
      <w:rFonts w:hint="eastAsia" w:ascii="宋体" w:hAnsi="宋体" w:eastAsia="宋体" w:cs="宋体"/>
      <w:b/>
      <w:color w:val="auto"/>
      <w:sz w:val="22"/>
      <w:szCs w:val="22"/>
      <w:u w:val="none"/>
    </w:rPr>
  </w:style>
  <w:style w:type="character" w:customStyle="1" w:styleId="16">
    <w:name w:val="font171"/>
    <w:qFormat/>
    <w:uiPriority w:val="0"/>
    <w:rPr>
      <w:rFonts w:hint="eastAsia" w:ascii="宋体" w:hAnsi="宋体" w:eastAsia="宋体" w:cs="宋体"/>
      <w:b/>
      <w:color w:val="auto"/>
      <w:sz w:val="18"/>
      <w:szCs w:val="18"/>
      <w:u w:val="none"/>
    </w:rPr>
  </w:style>
  <w:style w:type="character" w:customStyle="1" w:styleId="17">
    <w:name w:val="font151"/>
    <w:qFormat/>
    <w:uiPriority w:val="0"/>
    <w:rPr>
      <w:rFonts w:hint="eastAsia" w:ascii="宋体" w:hAnsi="宋体" w:eastAsia="宋体" w:cs="宋体"/>
      <w:color w:val="auto"/>
      <w:sz w:val="18"/>
      <w:szCs w:val="18"/>
      <w:u w:val="none"/>
    </w:rPr>
  </w:style>
  <w:style w:type="character" w:customStyle="1" w:styleId="18">
    <w:name w:val="font51"/>
    <w:qFormat/>
    <w:uiPriority w:val="0"/>
    <w:rPr>
      <w:rFonts w:hint="eastAsia" w:ascii="宋体" w:hAnsi="宋体" w:eastAsia="宋体" w:cs="宋体"/>
      <w:color w:val="auto"/>
      <w:sz w:val="22"/>
      <w:szCs w:val="22"/>
      <w:u w:val="none"/>
    </w:rPr>
  </w:style>
  <w:style w:type="character" w:customStyle="1" w:styleId="19">
    <w:name w:val="font81"/>
    <w:qFormat/>
    <w:uiPriority w:val="0"/>
    <w:rPr>
      <w:rFonts w:hint="eastAsia" w:ascii="宋体" w:hAnsi="宋体" w:eastAsia="宋体" w:cs="宋体"/>
      <w:color w:val="FF0000"/>
      <w:sz w:val="22"/>
      <w:szCs w:val="22"/>
      <w:u w:val="none"/>
    </w:rPr>
  </w:style>
  <w:style w:type="character" w:customStyle="1" w:styleId="20">
    <w:name w:val="font71"/>
    <w:qFormat/>
    <w:uiPriority w:val="0"/>
    <w:rPr>
      <w:rFonts w:hint="eastAsia" w:ascii="宋体" w:hAnsi="宋体" w:eastAsia="宋体" w:cs="宋体"/>
      <w:color w:val="auto"/>
      <w:sz w:val="22"/>
      <w:szCs w:val="22"/>
      <w:u w:val="none"/>
    </w:rPr>
  </w:style>
  <w:style w:type="character" w:customStyle="1" w:styleId="21">
    <w:name w:val="font231"/>
    <w:qFormat/>
    <w:uiPriority w:val="0"/>
    <w:rPr>
      <w:rFonts w:hint="eastAsia" w:ascii="宋体" w:hAnsi="宋体" w:eastAsia="宋体" w:cs="宋体"/>
      <w:b/>
      <w:color w:val="auto"/>
      <w:sz w:val="18"/>
      <w:szCs w:val="18"/>
      <w:u w:val="none"/>
    </w:rPr>
  </w:style>
  <w:style w:type="character" w:customStyle="1" w:styleId="22">
    <w:name w:val="font221"/>
    <w:qFormat/>
    <w:uiPriority w:val="0"/>
    <w:rPr>
      <w:rFonts w:hint="eastAsia" w:ascii="宋体" w:hAnsi="宋体" w:eastAsia="宋体" w:cs="宋体"/>
      <w:color w:val="auto"/>
      <w:sz w:val="18"/>
      <w:szCs w:val="18"/>
      <w:u w:val="none"/>
    </w:rPr>
  </w:style>
  <w:style w:type="character" w:customStyle="1" w:styleId="23">
    <w:name w:val="font211"/>
    <w:qFormat/>
    <w:uiPriority w:val="0"/>
    <w:rPr>
      <w:rFonts w:hint="eastAsia" w:ascii="宋体" w:hAnsi="宋体" w:eastAsia="宋体" w:cs="宋体"/>
      <w:b/>
      <w:color w:val="auto"/>
      <w:sz w:val="22"/>
      <w:szCs w:val="22"/>
      <w:u w:val="none"/>
    </w:rPr>
  </w:style>
  <w:style w:type="character" w:customStyle="1" w:styleId="24">
    <w:name w:val="font201"/>
    <w:qFormat/>
    <w:uiPriority w:val="0"/>
    <w:rPr>
      <w:rFonts w:hint="eastAsia" w:ascii="宋体" w:hAnsi="宋体" w:eastAsia="宋体" w:cs="宋体"/>
      <w:color w:val="auto"/>
      <w:sz w:val="22"/>
      <w:szCs w:val="22"/>
      <w:u w:val="none"/>
    </w:rPr>
  </w:style>
  <w:style w:type="character" w:customStyle="1" w:styleId="25">
    <w:name w:val="font161"/>
    <w:qFormat/>
    <w:uiPriority w:val="0"/>
    <w:rPr>
      <w:rFonts w:hint="eastAsia" w:ascii="宋体" w:hAnsi="宋体" w:eastAsia="宋体" w:cs="宋体"/>
      <w:b/>
      <w:color w:val="auto"/>
      <w:sz w:val="22"/>
      <w:szCs w:val="22"/>
      <w:u w:val="none"/>
    </w:rPr>
  </w:style>
  <w:style w:type="character" w:customStyle="1" w:styleId="26">
    <w:name w:val="font101"/>
    <w:qFormat/>
    <w:uiPriority w:val="0"/>
    <w:rPr>
      <w:rFonts w:hint="eastAsia" w:ascii="宋体" w:hAnsi="宋体" w:eastAsia="宋体" w:cs="宋体"/>
      <w:color w:val="FF0000"/>
      <w:sz w:val="22"/>
      <w:szCs w:val="22"/>
      <w:u w:val="none"/>
    </w:rPr>
  </w:style>
  <w:style w:type="character" w:customStyle="1" w:styleId="27">
    <w:name w:val="font61"/>
    <w:qFormat/>
    <w:uiPriority w:val="0"/>
    <w:rPr>
      <w:rFonts w:hint="eastAsia" w:ascii="宋体" w:hAnsi="宋体" w:eastAsia="宋体" w:cs="宋体"/>
      <w:color w:val="auto"/>
      <w:sz w:val="18"/>
      <w:szCs w:val="18"/>
      <w:u w:val="none"/>
    </w:rPr>
  </w:style>
  <w:style w:type="character" w:customStyle="1" w:styleId="28">
    <w:name w:val="font111"/>
    <w:qFormat/>
    <w:uiPriority w:val="0"/>
    <w:rPr>
      <w:rFonts w:hint="eastAsia" w:ascii="宋体" w:hAnsi="宋体" w:eastAsia="宋体" w:cs="宋体"/>
      <w:color w:val="auto"/>
      <w:sz w:val="18"/>
      <w:szCs w:val="18"/>
      <w:u w:val="none"/>
    </w:rPr>
  </w:style>
  <w:style w:type="character" w:customStyle="1" w:styleId="29">
    <w:name w:val="font121"/>
    <w:qFormat/>
    <w:uiPriority w:val="0"/>
    <w:rPr>
      <w:rFonts w:hint="default" w:ascii="Times New Roman" w:hAnsi="Times New Roman" w:cs="Times New Roman"/>
      <w:color w:val="auto"/>
      <w:sz w:val="18"/>
      <w:szCs w:val="18"/>
      <w:u w:val="none"/>
    </w:rPr>
  </w:style>
  <w:style w:type="character" w:customStyle="1" w:styleId="30">
    <w:name w:val="font131"/>
    <w:qFormat/>
    <w:uiPriority w:val="0"/>
    <w:rPr>
      <w:rFonts w:hint="eastAsia" w:ascii="宋体" w:hAnsi="宋体" w:eastAsia="宋体" w:cs="宋体"/>
      <w:b/>
      <w:color w:val="FF0000"/>
      <w:sz w:val="18"/>
      <w:szCs w:val="18"/>
      <w:u w:val="none"/>
    </w:rPr>
  </w:style>
  <w:style w:type="character" w:customStyle="1" w:styleId="31">
    <w:name w:val="font91"/>
    <w:qFormat/>
    <w:uiPriority w:val="0"/>
    <w:rPr>
      <w:rFonts w:hint="eastAsia" w:ascii="宋体" w:hAnsi="宋体" w:eastAsia="宋体" w:cs="宋体"/>
      <w:b/>
      <w:color w:val="auto"/>
      <w:sz w:val="18"/>
      <w:szCs w:val="18"/>
      <w:u w:val="none"/>
    </w:rPr>
  </w:style>
  <w:style w:type="character" w:customStyle="1" w:styleId="32">
    <w:name w:val="font261"/>
    <w:qFormat/>
    <w:uiPriority w:val="0"/>
    <w:rPr>
      <w:rFonts w:hint="eastAsia" w:ascii="宋体" w:hAnsi="宋体" w:eastAsia="宋体" w:cs="宋体"/>
      <w:color w:val="auto"/>
      <w:sz w:val="22"/>
      <w:szCs w:val="22"/>
      <w:u w:val="none"/>
    </w:rPr>
  </w:style>
  <w:style w:type="character" w:customStyle="1" w:styleId="33">
    <w:name w:val="font251"/>
    <w:qFormat/>
    <w:uiPriority w:val="0"/>
    <w:rPr>
      <w:rFonts w:hint="eastAsia" w:ascii="宋体" w:hAnsi="宋体" w:eastAsia="宋体" w:cs="宋体"/>
      <w:color w:val="FF0000"/>
      <w:sz w:val="22"/>
      <w:szCs w:val="22"/>
      <w:u w:val="none"/>
    </w:rPr>
  </w:style>
  <w:style w:type="character" w:customStyle="1" w:styleId="34">
    <w:name w:val="font241"/>
    <w:qFormat/>
    <w:uiPriority w:val="0"/>
    <w:rPr>
      <w:rFonts w:hint="eastAsia" w:ascii="宋体" w:hAnsi="宋体" w:eastAsia="宋体" w:cs="宋体"/>
      <w:color w:val="auto"/>
      <w:sz w:val="22"/>
      <w:szCs w:val="22"/>
      <w:u w:val="none"/>
    </w:rPr>
  </w:style>
  <w:style w:type="character" w:customStyle="1" w:styleId="35">
    <w:name w:val="font141"/>
    <w:qFormat/>
    <w:uiPriority w:val="0"/>
    <w:rPr>
      <w:rFonts w:hint="eastAsia" w:ascii="宋体" w:hAnsi="宋体" w:eastAsia="宋体" w:cs="宋体"/>
      <w:color w:val="FF0000"/>
      <w:sz w:val="22"/>
      <w:szCs w:val="22"/>
      <w:u w:val="none"/>
    </w:rPr>
  </w:style>
  <w:style w:type="character" w:customStyle="1" w:styleId="36">
    <w:name w:val="font271"/>
    <w:qFormat/>
    <w:uiPriority w:val="0"/>
    <w:rPr>
      <w:rFonts w:hint="eastAsia" w:ascii="宋体" w:hAnsi="宋体" w:eastAsia="宋体" w:cs="宋体"/>
      <w:color w:val="auto"/>
      <w:sz w:val="22"/>
      <w:szCs w:val="22"/>
      <w:u w:val="none"/>
    </w:rPr>
  </w:style>
  <w:style w:type="character" w:customStyle="1" w:styleId="37">
    <w:name w:val="cf01"/>
    <w:basedOn w:val="11"/>
    <w:qFormat/>
    <w:uiPriority w:val="0"/>
    <w:rPr>
      <w:rFonts w:ascii="Calibri" w:hAnsi="Calibri" w:cs="Calibri"/>
      <w:sz w:val="22"/>
      <w:szCs w:val="22"/>
    </w:rPr>
  </w:style>
  <w:style w:type="character" w:customStyle="1" w:styleId="38">
    <w:name w:val="cf11"/>
    <w:basedOn w:val="11"/>
    <w:qFormat/>
    <w:uiPriority w:val="0"/>
    <w:rPr>
      <w:rFonts w:ascii="微软雅黑" w:hAnsi="微软雅黑" w:eastAsia="微软雅黑" w:cs="微软雅黑"/>
      <w:sz w:val="22"/>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dk1">
                    <a:lumMod val="75000"/>
                    <a:lumOff val="25000"/>
                  </a:schemeClr>
                </a:solidFill>
                <a:latin typeface="+mn-lt"/>
                <a:ea typeface="+mn-ea"/>
                <a:cs typeface="+mn-cs"/>
              </a:defRPr>
            </a:pPr>
            <a:r>
              <a:t>专任教师数量、结构图</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系列 1</c:v>
                </c:pt>
              </c:strCache>
            </c:strRef>
          </c:tx>
          <c:spPr>
            <a:gradFill>
              <a:gsLst>
                <a:gs pos="100000">
                  <a:schemeClr val="accent1"/>
                </a:gs>
                <a:gs pos="0">
                  <a:schemeClr val="accent1">
                    <a:hueOff val="-1670000"/>
                  </a:schemeClr>
                </a:gs>
              </a:gsLst>
              <a:lin ang="5400000" scaled="0"/>
            </a:gradFill>
            <a:ln>
              <a:gradFill>
                <a:gsLst>
                  <a:gs pos="100000">
                    <a:schemeClr val="accent1">
                      <a:lumMod val="75000"/>
                    </a:schemeClr>
                  </a:gs>
                  <a:gs pos="0">
                    <a:schemeClr val="accent1">
                      <a:lumMod val="75000"/>
                      <a:hueOff val="-1670000"/>
                    </a:schemeClr>
                  </a:gs>
                </a:gsLst>
                <a:lin ang="5280000" scaled="0"/>
              </a:grad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dk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35000"/>
                          <a:lumOff val="65000"/>
                        </a:schemeClr>
                      </a:solidFill>
                    </a:ln>
                    <a:effectLst/>
                  </c:spPr>
                </c15:leaderLines>
              </c:ext>
            </c:extLst>
          </c:dLbls>
          <c:cat>
            <c:strRef>
              <c:f>Sheet1!$A$2:$A$10</c:f>
              <c:strCache>
                <c:ptCount val="9"/>
                <c:pt idx="0">
                  <c:v>自有专任教师</c:v>
                </c:pt>
                <c:pt idx="1">
                  <c:v>外聘教师</c:v>
                </c:pt>
                <c:pt idx="2">
                  <c:v>折合专任教师数</c:v>
                </c:pt>
                <c:pt idx="3">
                  <c:v>高职称教师</c:v>
                </c:pt>
                <c:pt idx="4">
                  <c:v>具有硕士学位教师</c:v>
                </c:pt>
                <c:pt idx="5">
                  <c:v>35岁及以下者</c:v>
                </c:pt>
                <c:pt idx="6">
                  <c:v>36-45岁</c:v>
                </c:pt>
                <c:pt idx="7">
                  <c:v>46-55岁</c:v>
                </c:pt>
                <c:pt idx="8">
                  <c:v>56岁以上</c:v>
                </c:pt>
              </c:strCache>
            </c:strRef>
          </c:cat>
          <c:val>
            <c:numRef>
              <c:f>Sheet1!$B$2:$B$10</c:f>
              <c:numCache>
                <c:formatCode>General</c:formatCode>
                <c:ptCount val="9"/>
                <c:pt idx="0">
                  <c:v>432</c:v>
                </c:pt>
                <c:pt idx="1">
                  <c:v>420</c:v>
                </c:pt>
                <c:pt idx="2">
                  <c:v>724</c:v>
                </c:pt>
                <c:pt idx="3">
                  <c:v>222</c:v>
                </c:pt>
                <c:pt idx="4">
                  <c:v>515</c:v>
                </c:pt>
                <c:pt idx="5">
                  <c:v>490</c:v>
                </c:pt>
                <c:pt idx="6">
                  <c:v>178</c:v>
                </c:pt>
                <c:pt idx="7">
                  <c:v>48</c:v>
                </c:pt>
                <c:pt idx="8">
                  <c:v>136</c:v>
                </c:pt>
              </c:numCache>
            </c:numRef>
          </c:val>
        </c:ser>
        <c:ser>
          <c:idx val="1"/>
          <c:order val="1"/>
          <c:tx>
            <c:strRef>
              <c:f>Sheet1!#REF!</c:f>
              <c:strCache>
                <c:ptCount val="1"/>
                <c:pt idx="0">
                  <c:v/>
                </c:pt>
              </c:strCache>
            </c:strRef>
          </c:tx>
          <c:spPr>
            <a:gradFill>
              <a:gsLst>
                <a:gs pos="100000">
                  <a:schemeClr val="accent2"/>
                </a:gs>
                <a:gs pos="0">
                  <a:schemeClr val="accent2">
                    <a:hueOff val="-1670000"/>
                  </a:schemeClr>
                </a:gs>
              </a:gsLst>
              <a:lin ang="5400000" scaled="0"/>
            </a:gradFill>
            <a:ln>
              <a:gradFill>
                <a:gsLst>
                  <a:gs pos="100000">
                    <a:schemeClr val="accent2">
                      <a:lumMod val="75000"/>
                    </a:schemeClr>
                  </a:gs>
                  <a:gs pos="0">
                    <a:schemeClr val="accent2">
                      <a:lumMod val="75000"/>
                      <a:hueOff val="-1670000"/>
                    </a:schemeClr>
                  </a:gs>
                </a:gsLst>
                <a:lin ang="5280000" scaled="0"/>
              </a:grad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dk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35000"/>
                          <a:lumOff val="65000"/>
                        </a:schemeClr>
                      </a:solidFill>
                    </a:ln>
                    <a:effectLst/>
                  </c:spPr>
                </c15:leaderLines>
              </c:ext>
            </c:extLst>
          </c:dLbls>
          <c:cat>
            <c:strRef>
              <c:f>Sheet1!$A$2:$A$10</c:f>
              <c:strCache>
                <c:ptCount val="9"/>
                <c:pt idx="0">
                  <c:v>自有专任教师</c:v>
                </c:pt>
                <c:pt idx="1">
                  <c:v>外聘教师</c:v>
                </c:pt>
                <c:pt idx="2">
                  <c:v>折合专任教师数</c:v>
                </c:pt>
                <c:pt idx="3">
                  <c:v>高职称教师</c:v>
                </c:pt>
                <c:pt idx="4">
                  <c:v>具有硕士学位教师</c:v>
                </c:pt>
                <c:pt idx="5">
                  <c:v>35岁及以下者</c:v>
                </c:pt>
                <c:pt idx="6">
                  <c:v>36-45岁</c:v>
                </c:pt>
                <c:pt idx="7">
                  <c:v>46-55岁</c:v>
                </c:pt>
                <c:pt idx="8">
                  <c:v>56岁以上</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gradFill>
              <a:gsLst>
                <a:gs pos="100000">
                  <a:schemeClr val="accent3"/>
                </a:gs>
                <a:gs pos="0">
                  <a:schemeClr val="accent3">
                    <a:hueOff val="-1670000"/>
                  </a:schemeClr>
                </a:gs>
              </a:gsLst>
              <a:lin ang="5400000" scaled="0"/>
            </a:gradFill>
            <a:ln>
              <a:gradFill>
                <a:gsLst>
                  <a:gs pos="100000">
                    <a:schemeClr val="accent3">
                      <a:lumMod val="75000"/>
                    </a:schemeClr>
                  </a:gs>
                  <a:gs pos="0">
                    <a:schemeClr val="accent3">
                      <a:lumMod val="75000"/>
                      <a:hueOff val="-1670000"/>
                    </a:schemeClr>
                  </a:gs>
                </a:gsLst>
                <a:lin ang="5280000" scaled="0"/>
              </a:grad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dk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35000"/>
                          <a:lumOff val="65000"/>
                        </a:schemeClr>
                      </a:solidFill>
                    </a:ln>
                    <a:effectLst/>
                  </c:spPr>
                </c15:leaderLines>
              </c:ext>
            </c:extLst>
          </c:dLbls>
          <c:cat>
            <c:strRef>
              <c:f>Sheet1!$A$2:$A$5</c:f>
              <c:strCache>
                <c:ptCount val="9"/>
                <c:pt idx="0">
                  <c:v>自有专任教师</c:v>
                </c:pt>
                <c:pt idx="1">
                  <c:v>外聘教师</c:v>
                </c:pt>
                <c:pt idx="2">
                  <c:v>折合专任教师数</c:v>
                </c:pt>
                <c:pt idx="3">
                  <c:v>高职称教师</c:v>
                </c:pt>
                <c:pt idx="4">
                  <c:v>具有硕士学位教师</c:v>
                </c:pt>
                <c:pt idx="5">
                  <c:v>35岁及以下者</c:v>
                </c:pt>
                <c:pt idx="6">
                  <c:v>36-45岁</c:v>
                </c:pt>
                <c:pt idx="7">
                  <c:v>46-55岁</c:v>
                </c:pt>
                <c:pt idx="8">
                  <c:v>56岁以上</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500"/>
        <c:overlap val="-50"/>
        <c:axId val="335319612"/>
        <c:axId val="95608948"/>
      </c:barChart>
      <c:catAx>
        <c:axId val="335319612"/>
        <c:scaling>
          <c:orientation val="minMax"/>
        </c:scaling>
        <c:delete val="0"/>
        <c:axPos val="b"/>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dk1">
                    <a:lumMod val="65000"/>
                    <a:lumOff val="35000"/>
                  </a:schemeClr>
                </a:solidFill>
                <a:latin typeface="+mn-lt"/>
                <a:ea typeface="+mn-ea"/>
                <a:cs typeface="+mn-cs"/>
              </a:defRPr>
            </a:pPr>
          </a:p>
        </c:txPr>
        <c:crossAx val="95608948"/>
        <c:crosses val="autoZero"/>
        <c:auto val="1"/>
        <c:lblAlgn val="ctr"/>
        <c:lblOffset val="100"/>
        <c:noMultiLvlLbl val="0"/>
      </c:catAx>
      <c:valAx>
        <c:axId val="95608948"/>
        <c:scaling>
          <c:orientation val="minMax"/>
        </c:scaling>
        <c:delete val="1"/>
        <c:axPos val="l"/>
        <c:numFmt formatCode="General" sourceLinked="1"/>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dk1">
                    <a:lumMod val="65000"/>
                    <a:lumOff val="35000"/>
                  </a:schemeClr>
                </a:solidFill>
                <a:latin typeface="+mn-lt"/>
                <a:ea typeface="+mn-ea"/>
                <a:cs typeface="+mn-cs"/>
              </a:defRPr>
            </a:pPr>
          </a:p>
        </c:txPr>
        <c:crossAx val="335319612"/>
        <c:crosses val="autoZero"/>
        <c:crossBetween val="between"/>
      </c:valAx>
      <c:spPr>
        <a:noFill/>
        <a:ln>
          <a:noFill/>
        </a:ln>
        <a:effectLst/>
      </c:spPr>
    </c:plotArea>
    <c:plotVisOnly val="1"/>
    <c:dispBlanksAs val="gap"/>
    <c:showDLblsOverMax val="0"/>
    <c:extLst>
      <c:ext uri="{0b15fc19-7d7d-44ad-8c2d-2c3a37ce22c3}">
        <chartProps xmlns="https://web.wps.cn/et/2018/main" chartId="{4c223100-3f98-490a-bfd9-0738b285f8ef}"/>
      </c:ext>
    </c:extLst>
  </c:chart>
  <c:spPr>
    <a:solidFill>
      <a:schemeClr val="lt1">
        <a:lumMod val="96000"/>
      </a:schemeClr>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9">
  <cs:axisTitle>
    <cs:lnRef idx="0"/>
    <cs:fillRef idx="0"/>
    <cs:effectRef idx="0"/>
    <cs:fontRef idx="minor">
      <a:schemeClr val="dk1">
        <a:lumMod val="65000"/>
        <a:lumOff val="35000"/>
      </a:schemeClr>
    </cs:fontRef>
    <cs:defRPr sz="10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lt1">
          <a:lumMod val="96000"/>
        </a:schemeClr>
      </a:solidFill>
      <a:ln w="9525" cap="flat" cmpd="sng" algn="ctr">
        <a:solidFill>
          <a:schemeClr val="tx1">
            <a:lumMod val="15000"/>
            <a:lumOff val="85000"/>
          </a:schemeClr>
        </a:solidFill>
        <a:round/>
      </a:ln>
    </cs:spPr>
    <cs:defRPr sz="1000" kern="1200"/>
  </cs:chartArea>
  <cs:dataLabel>
    <cs:lnRef idx="0"/>
    <cs:fillRef idx="0"/>
    <cs:effectRef idx="0"/>
    <cs:fontRef idx="minor">
      <a:schemeClr val="dk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100000">
            <a:schemeClr val="phClr"/>
          </a:gs>
          <a:gs pos="0">
            <a:schemeClr val="phClr">
              <a:hueOff val="-1670000"/>
            </a:schemeClr>
          </a:gs>
        </a:gsLst>
        <a:lin ang="5400000" scaled="0"/>
      </a:gradFill>
      <a:ln>
        <a:gradFill>
          <a:gsLst>
            <a:gs pos="100000">
              <a:schemeClr val="phClr">
                <a:lumMod val="75000"/>
              </a:schemeClr>
            </a:gs>
            <a:gs pos="0">
              <a:schemeClr val="phClr">
                <a:lumMod val="75000"/>
                <a:hueOff val="-1670000"/>
              </a:schemeClr>
            </a:gs>
          </a:gsLst>
          <a:lin ang="5280000" scaled="0"/>
        </a:grad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dk1">
            <a:lumMod val="35000"/>
            <a:lumOff val="65000"/>
          </a:schemeClr>
        </a:solidFill>
      </a:ln>
    </cs:spPr>
  </cs:dropLine>
  <cs:errorBar>
    <cs:lnRef idx="0"/>
    <cs:fillRef idx="0"/>
    <cs:effectRef idx="0"/>
    <cs:fontRef idx="minor">
      <a:schemeClr val="tx1"/>
    </cs:fontRef>
    <cs:spPr>
      <a:ln w="9525" cap="flat" cmpd="sng" algn="ctr">
        <a:solidFill>
          <a:schemeClr val="dk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a:solidFill>
          <a:schemeClr val="dk1">
            <a:lumMod val="75000"/>
            <a:lumOff val="25000"/>
          </a:schemeClr>
        </a:solidFill>
      </a:ln>
    </cs:spPr>
  </cs:hiLoLine>
  <cs:leaderLine>
    <cs:lnRef idx="0"/>
    <cs:fillRef idx="0"/>
    <cs:effectRef idx="0"/>
    <cs:fontRef idx="minor">
      <a:schemeClr val="tx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tx1"/>
    </cs:fontRef>
    <cs:spPr>
      <a:ln w="9525">
        <a:solidFill>
          <a:schemeClr val="dk1">
            <a:lumMod val="35000"/>
            <a:lumOff val="65000"/>
          </a:schemeClr>
        </a:solidFill>
      </a:ln>
    </cs:spPr>
  </cs:seriesLine>
  <cs:title>
    <cs:lnRef idx="0"/>
    <cs:fillRef idx="0"/>
    <cs:effectRef idx="0"/>
    <cs:fontRef idx="minor">
      <a:schemeClr val="dk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43</Pages>
  <Words>15376</Words>
  <Characters>16373</Characters>
  <Lines>0</Lines>
  <Paragraphs>0</Paragraphs>
  <TotalTime>36</TotalTime>
  <ScaleCrop>false</ScaleCrop>
  <LinksUpToDate>false</LinksUpToDate>
  <CharactersWithSpaces>16378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2024-10-02T03:02:00Z</dcterms:created>
  <dc:creator>29501</dc:creator>
  <cp:lastModifiedBy>安然</cp:lastModifiedBy>
  <dcterms:modified xsi:type="dcterms:W3CDTF">2026-01-14T08:29:47Z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58FC80366DB5426BBCD5A0B843C26FE0_13</vt:lpwstr>
  </property>
  <property fmtid="{D5CDD505-2E9C-101B-9397-08002B2CF9AE}" pid="4" name="KSOTemplateDocerSaveRecord">
    <vt:lpwstr>eyJoZGlkIjoiNTY5YTM1ZTk0OTJhMDNlMDJkMTJlMjVjYjdlMjYzMWEiLCJ1c2VySWQiOiI0NjUxNDY1NTEifQ==</vt:lpwstr>
  </property>
</Properties>
</file>