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overflowPunct/>
        <w:topLinePunct w:val="0"/>
        <w:autoSpaceDE/>
        <w:autoSpaceDN/>
        <w:bidi w:val="0"/>
        <w:spacing w:beforeAutospacing="0" w:afterAutospacing="0" w:line="580" w:lineRule="exact"/>
        <w:jc w:val="both"/>
        <w:textAlignment w:val="auto"/>
        <w:rPr>
          <w:rFonts w:hint="eastAsia" w:ascii="黑体" w:hAnsi="黑体" w:eastAsia="黑体" w:cs="黑体"/>
          <w:b w:val="0"/>
          <w:color w:val="333333"/>
          <w:kern w:val="0"/>
          <w:sz w:val="32"/>
          <w:szCs w:val="32"/>
          <w:shd w:val="clear" w:color="auto" w:fill="FFFFFF"/>
          <w:lang w:val="en-US" w:eastAsia="zh-CN" w:bidi="ar-SA"/>
        </w:rPr>
      </w:pPr>
      <w:bookmarkStart w:id="0" w:name="_GoBack"/>
      <w:bookmarkEnd w:id="0"/>
      <w:r>
        <w:rPr>
          <w:rFonts w:hint="eastAsia" w:ascii="黑体" w:hAnsi="黑体" w:eastAsia="黑体" w:cs="黑体"/>
          <w:b w:val="0"/>
          <w:color w:val="333333"/>
          <w:kern w:val="0"/>
          <w:sz w:val="32"/>
          <w:szCs w:val="32"/>
          <w:shd w:val="clear" w:color="auto" w:fill="FFFFFF"/>
          <w:lang w:val="en-US" w:eastAsia="zh-CN" w:bidi="ar-SA"/>
        </w:rPr>
        <w:t>附件：</w:t>
      </w:r>
    </w:p>
    <w:p>
      <w:pPr>
        <w:pStyle w:val="2"/>
        <w:keepNext w:val="0"/>
        <w:keepLines w:val="0"/>
        <w:pageBreakBefore w:val="0"/>
        <w:kinsoku/>
        <w:overflowPunct/>
        <w:topLinePunct w:val="0"/>
        <w:autoSpaceDE/>
        <w:autoSpaceDN/>
        <w:bidi w:val="0"/>
        <w:spacing w:afterAutospacing="0" w:line="580" w:lineRule="exact"/>
        <w:jc w:val="center"/>
        <w:textAlignment w:val="auto"/>
        <w:rPr>
          <w:rFonts w:hint="eastAsia" w:ascii="方正小标宋简体" w:hAnsi="方正小标宋简体" w:eastAsia="方正小标宋简体" w:cs="方正小标宋简体"/>
          <w:color w:val="auto"/>
          <w:sz w:val="32"/>
          <w:szCs w:val="32"/>
          <w:lang w:eastAsia="zh-CN"/>
        </w:rPr>
      </w:pPr>
      <w:r>
        <w:rPr>
          <w:rFonts w:hint="eastAsia" w:ascii="方正小标宋简体" w:hAnsi="方正小标宋简体" w:eastAsia="方正小标宋简体" w:cs="方正小标宋简体"/>
          <w:color w:val="auto"/>
          <w:sz w:val="32"/>
          <w:szCs w:val="32"/>
          <w:lang w:eastAsia="zh-CN"/>
        </w:rPr>
        <w:t>南昌应用技术师范学院</w:t>
      </w:r>
      <w:r>
        <w:rPr>
          <w:rFonts w:hint="eastAsia" w:ascii="方正小标宋简体" w:hAnsi="方正小标宋简体" w:eastAsia="方正小标宋简体" w:cs="方正小标宋简体"/>
          <w:color w:val="auto"/>
          <w:sz w:val="32"/>
          <w:szCs w:val="32"/>
          <w:lang w:val="en-US" w:eastAsia="zh-CN"/>
        </w:rPr>
        <w:t>教研</w:t>
      </w:r>
      <w:r>
        <w:rPr>
          <w:rFonts w:hint="eastAsia" w:ascii="方正小标宋简体" w:hAnsi="方正小标宋简体" w:eastAsia="方正小标宋简体" w:cs="方正小标宋简体"/>
          <w:color w:val="auto"/>
          <w:sz w:val="32"/>
          <w:szCs w:val="32"/>
          <w:lang w:eastAsia="zh-CN"/>
        </w:rPr>
        <w:t>工作量化计分暂行办法（</w:t>
      </w:r>
      <w:r>
        <w:rPr>
          <w:rFonts w:hint="eastAsia" w:ascii="方正小标宋简体" w:hAnsi="方正小标宋简体" w:eastAsia="方正小标宋简体" w:cs="方正小标宋简体"/>
          <w:color w:val="auto"/>
          <w:sz w:val="32"/>
          <w:szCs w:val="32"/>
          <w:lang w:val="en-US" w:eastAsia="zh-CN"/>
        </w:rPr>
        <w:t>修订</w:t>
      </w:r>
      <w:r>
        <w:rPr>
          <w:rFonts w:hint="eastAsia" w:ascii="方正小标宋简体" w:hAnsi="方正小标宋简体" w:eastAsia="方正小标宋简体" w:cs="方正小标宋简体"/>
          <w:color w:val="auto"/>
          <w:sz w:val="32"/>
          <w:szCs w:val="32"/>
          <w:lang w:eastAsia="zh-CN"/>
        </w:rPr>
        <w:t>）</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leftChars="0" w:right="0" w:firstLine="0" w:firstLineChars="0"/>
        <w:jc w:val="center"/>
        <w:textAlignment w:val="auto"/>
        <w:rPr>
          <w:rFonts w:hint="eastAsia" w:ascii="黑体" w:hAnsi="黑体" w:eastAsia="黑体" w:cs="黑体"/>
          <w:b/>
          <w:bCs w:val="0"/>
          <w:i w:val="0"/>
          <w:iCs w:val="0"/>
          <w:caps w:val="0"/>
          <w:color w:val="333333"/>
          <w:spacing w:val="0"/>
          <w:kern w:val="44"/>
          <w:sz w:val="32"/>
          <w:szCs w:val="32"/>
          <w:shd w:val="clear" w:color="auto" w:fill="FFFFFF"/>
          <w:lang w:val="zh-CN" w:eastAsia="zh-CN" w:bidi="zh-CN"/>
        </w:rPr>
      </w:pPr>
      <w:r>
        <w:rPr>
          <w:rFonts w:hint="eastAsia" w:ascii="黑体" w:hAnsi="黑体" w:eastAsia="黑体" w:cs="黑体"/>
          <w:b/>
          <w:bCs w:val="0"/>
          <w:i w:val="0"/>
          <w:iCs w:val="0"/>
          <w:caps w:val="0"/>
          <w:color w:val="333333"/>
          <w:spacing w:val="0"/>
          <w:kern w:val="44"/>
          <w:sz w:val="32"/>
          <w:szCs w:val="32"/>
          <w:shd w:val="clear" w:color="auto" w:fill="FFFFFF"/>
          <w:lang w:val="zh-CN" w:eastAsia="zh-CN" w:bidi="zh-CN"/>
        </w:rPr>
        <w:t>第一章 总 则</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zh-CN" w:eastAsia="zh-CN" w:bidi="zh-CN"/>
        </w:rPr>
        <w:t>第一条</w:t>
      </w:r>
      <w:r>
        <w:rPr>
          <w:rFonts w:hint="eastAsia" w:ascii="仿宋_GB2312" w:hAnsi="仿宋_GB2312" w:eastAsia="仿宋_GB2312" w:cs="仿宋_GB2312"/>
          <w:b/>
          <w:bCs w:val="0"/>
          <w:i w:val="0"/>
          <w:iCs w:val="0"/>
          <w:caps w:val="0"/>
          <w:color w:val="333333"/>
          <w:spacing w:val="0"/>
          <w:kern w:val="44"/>
          <w:sz w:val="32"/>
          <w:szCs w:val="32"/>
          <w:shd w:val="clear" w:color="auto" w:fill="FFFFFF"/>
          <w:lang w:val="en-US"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 xml:space="preserve"> 为更好地调动广大教职工从事教研工作的积极性，提高教师技术技能水平与教研水平，</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提升学校教育教学水平</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，实现教研促进学科专业建设，</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提升</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教学质量与人才培养</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质量的目标</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，根据我校的实际情况，特制定本办法。</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zh-CN" w:eastAsia="zh-CN" w:bidi="zh-CN"/>
        </w:rPr>
        <w:t>第二条</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本办法中，所有项目与成果均必须以南昌应用技术师范学院为第一署名单位或完成单位。</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zh-CN" w:eastAsia="zh-CN" w:bidi="zh-CN"/>
        </w:rPr>
        <w:t>第三条</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本办法将教研项目和成果进行量化，计算单位为分值，按照成果与相应分值进行综合评价与考核奖励。</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zh-CN" w:eastAsia="zh-CN" w:bidi="zh-CN"/>
        </w:rPr>
        <w:t>第四条</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本办法适</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用</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于我校在职在岗人员。</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leftChars="0" w:right="0" w:firstLine="0" w:firstLineChars="0"/>
        <w:jc w:val="center"/>
        <w:textAlignment w:val="auto"/>
        <w:rPr>
          <w:rFonts w:hint="eastAsia" w:ascii="黑体" w:hAnsi="黑体" w:eastAsia="黑体" w:cs="黑体"/>
          <w:b/>
          <w:bCs w:val="0"/>
          <w:i w:val="0"/>
          <w:iCs w:val="0"/>
          <w:caps w:val="0"/>
          <w:color w:val="333333"/>
          <w:spacing w:val="0"/>
          <w:kern w:val="44"/>
          <w:sz w:val="32"/>
          <w:szCs w:val="32"/>
          <w:shd w:val="clear" w:color="auto" w:fill="FFFFFF"/>
          <w:lang w:val="zh-CN" w:eastAsia="zh-CN" w:bidi="zh-CN"/>
        </w:rPr>
      </w:pPr>
      <w:r>
        <w:rPr>
          <w:rFonts w:hint="eastAsia" w:ascii="黑体" w:hAnsi="黑体" w:eastAsia="黑体" w:cs="黑体"/>
          <w:b/>
          <w:bCs w:val="0"/>
          <w:i w:val="0"/>
          <w:iCs w:val="0"/>
          <w:caps w:val="0"/>
          <w:color w:val="333333"/>
          <w:spacing w:val="0"/>
          <w:kern w:val="44"/>
          <w:sz w:val="32"/>
          <w:szCs w:val="32"/>
          <w:shd w:val="clear" w:color="auto" w:fill="FFFFFF"/>
          <w:lang w:val="zh-CN" w:eastAsia="zh-CN" w:bidi="zh-CN"/>
        </w:rPr>
        <w:t>第二章 教研项目及成果的级别认定</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zh-CN" w:eastAsia="zh-CN" w:bidi="zh-CN"/>
        </w:rPr>
        <w:t>第五条</w:t>
      </w:r>
      <w:r>
        <w:rPr>
          <w:rFonts w:hint="eastAsia" w:ascii="仿宋_GB2312" w:hAnsi="仿宋_GB2312" w:eastAsia="仿宋_GB2312" w:cs="仿宋_GB2312"/>
          <w:b/>
          <w:bCs w:val="0"/>
          <w:i w:val="0"/>
          <w:iCs w:val="0"/>
          <w:caps w:val="0"/>
          <w:color w:val="333333"/>
          <w:spacing w:val="0"/>
          <w:kern w:val="44"/>
          <w:sz w:val="32"/>
          <w:szCs w:val="32"/>
          <w:shd w:val="clear" w:color="auto" w:fill="FFFFFF"/>
          <w:lang w:val="en-US"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 xml:space="preserve"> 教研项目的级别认定</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zh-CN"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一）</w:t>
      </w: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国家级教研项目</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Ⅰ类：国家级专业项目，如</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专业综合改革试点、专业双万计划（国家级一流本科专业点）、</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六</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卓越一拔尖计划、工程教育专业认证、</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四新建设等</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Ⅱ类：</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国家级</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课程</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项目，</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如</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国家一流</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线上</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课程、</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国家一流线下课程、国家一流线上线下混合式课程、国家一流社会实践课程、国家</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虚拟仿真教学项目、国家级双语教学示范课程</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Ⅲ类：</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国家级教改课题，如</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全国高等教育教学改革研究课题</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等</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zh-CN"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二）</w:t>
      </w: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省级教研项目</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Ⅰ类：</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省级专业项目，含</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江西省</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专业综合改革试点、</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江西</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省一流本科专业点等；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Ⅱ类：</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省</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级课程项目，</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江西省</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一流线上课程、江西省一流线下课程、江西省一流线上线下混合式课程、江西省一流社会实践课程、江西省虚拟仿真教学项目、江西省双语教学示范课程等；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Ⅲ类：省级教改课题，如江西省</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高等教育教学改革研究课题，</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教育部产学研协同育人项目等</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02" w:firstLineChars="200"/>
        <w:jc w:val="both"/>
        <w:textAlignment w:val="auto"/>
        <w:rPr>
          <w:rFonts w:hint="eastAsia" w:ascii="楷体" w:hAnsi="楷体" w:eastAsia="楷体" w:cs="楷体"/>
          <w:b/>
          <w:bCs w:val="0"/>
          <w:i w:val="0"/>
          <w:iCs w:val="0"/>
          <w:caps w:val="0"/>
          <w:color w:val="333333"/>
          <w:spacing w:val="0"/>
          <w:kern w:val="44"/>
          <w:sz w:val="30"/>
          <w:szCs w:val="30"/>
          <w:shd w:val="clear" w:color="auto" w:fill="FFFFFF"/>
          <w:lang w:val="en-US" w:eastAsia="zh-CN" w:bidi="zh-CN"/>
        </w:rPr>
      </w:pPr>
      <w:r>
        <w:rPr>
          <w:rFonts w:hint="eastAsia" w:ascii="楷体" w:hAnsi="楷体" w:eastAsia="楷体" w:cs="楷体"/>
          <w:b/>
          <w:bCs w:val="0"/>
          <w:i w:val="0"/>
          <w:iCs w:val="0"/>
          <w:caps w:val="0"/>
          <w:color w:val="333333"/>
          <w:spacing w:val="0"/>
          <w:kern w:val="44"/>
          <w:sz w:val="30"/>
          <w:szCs w:val="30"/>
          <w:shd w:val="clear" w:color="auto" w:fill="FFFFFF"/>
          <w:lang w:val="en-US" w:eastAsia="zh-CN" w:bidi="zh-CN"/>
        </w:rPr>
        <w:t>（三）校级教研项目</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Ⅰ类：校级专业建设项目等；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Ⅱ类：校级课程建设项目等；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Ⅲ类：校级教改课题等。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zh-CN" w:eastAsia="zh-CN" w:bidi="zh-CN"/>
        </w:rPr>
        <w:t>第六条</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 xml:space="preserve"> 教学团队</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的级别认定</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一）国家级教学团队</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国家级教学团队、国家级职业教育教师</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团队</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全国</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高校示范马克思主义学院和优秀教学科研团队、</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全国</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职业院校教师教学创新团队、全国高校思想政治理论课教学科研团队</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zh-CN"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（二）省</w:t>
      </w: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级教学团队</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江西省</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高校</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教学团队、全省高校思想政治理论课优秀教学团队</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（三）校级教学团队</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zh-CN" w:eastAsia="zh-CN" w:bidi="zh-CN"/>
        </w:rPr>
        <w:t>第七条</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 xml:space="preserve"> 教学名师</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的级别认定</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一）</w:t>
      </w: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国家级教学</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名师</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国家教学名师，国家“万人计划”教学名师，全国高校优秀中青年思想政治理论课教师等。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二）</w:t>
      </w: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省级教学</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名师</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江西省高等学校教学名师，江西省高等学校金牌教授、金牌教师，江西省高校思想政治理论课“名师工作室”</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（三）校级教学名师</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zh-CN" w:eastAsia="zh-CN" w:bidi="zh-CN"/>
        </w:rPr>
        <w:t>第八条</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 xml:space="preserve"> 教材的级别认定</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（一）国家级教材</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规划教材、全国高等学校优秀教材等。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（二）省级教材</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江西省普通高等学校优秀教材等。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（三）普通教材</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正式出版的普通教材等。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zh-CN" w:eastAsia="zh-CN" w:bidi="zh-CN"/>
        </w:rPr>
        <w:t>第九条</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教研成果奖的级别认定</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（一）国家级教学成果奖</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国家教学成果奖等</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（二）省级教学成果奖</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0" w:firstLineChars="200"/>
        <w:jc w:val="left"/>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江西省教学成果奖等。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3" w:firstLineChars="200"/>
        <w:jc w:val="left"/>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（三）校级教学成果奖</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en-US" w:eastAsia="zh-CN" w:bidi="zh-CN"/>
        </w:rPr>
        <w:t>第十条</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 xml:space="preserve">  教学（技能）竞赛的级别认定</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指教师参加各类教学竞赛或技能竞赛，并获得相应奖励。</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3" w:firstLineChars="200"/>
        <w:jc w:val="left"/>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（一）国家级教学竞赛</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一师一优课、一课一名师，全国高校青年教师教学竞赛，全国教育教学信息化展示，全国高校教师教学创新大赛，</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全国高校辅导员素质能力大赛，全国高校多媒体课件大赛，全国高校外语教学大赛，全国高校微课教学比赛，全国高等学校自制实验教学仪器设备评选活动，全国高校思想政治理论课教学展示活动，</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全国创业培训讲师大赛</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等</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3" w:firstLineChars="200"/>
        <w:jc w:val="left"/>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（二）省级教学竞赛</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江西省高校青年教师教学竞赛，江西省高校辅导员职业技能竞赛，江西省思想政治教育教学竞赛等。</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3" w:firstLineChars="200"/>
        <w:jc w:val="left"/>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（三）校级教学竞赛</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zh-CN" w:eastAsia="zh-CN" w:bidi="zh-CN"/>
        </w:rPr>
        <w:t>第十</w:t>
      </w:r>
      <w:r>
        <w:rPr>
          <w:rFonts w:hint="eastAsia" w:ascii="仿宋_GB2312" w:hAnsi="仿宋_GB2312" w:eastAsia="仿宋_GB2312" w:cs="仿宋_GB2312"/>
          <w:b/>
          <w:bCs w:val="0"/>
          <w:i w:val="0"/>
          <w:iCs w:val="0"/>
          <w:caps w:val="0"/>
          <w:color w:val="333333"/>
          <w:spacing w:val="0"/>
          <w:kern w:val="44"/>
          <w:sz w:val="32"/>
          <w:szCs w:val="32"/>
          <w:shd w:val="clear" w:color="auto" w:fill="FFFFFF"/>
          <w:lang w:val="en-US" w:eastAsia="zh-CN" w:bidi="zh-CN"/>
        </w:rPr>
        <w:t>一</w:t>
      </w:r>
      <w:r>
        <w:rPr>
          <w:rFonts w:hint="eastAsia" w:ascii="仿宋_GB2312" w:hAnsi="仿宋_GB2312" w:eastAsia="仿宋_GB2312" w:cs="仿宋_GB2312"/>
          <w:b/>
          <w:bCs w:val="0"/>
          <w:i w:val="0"/>
          <w:iCs w:val="0"/>
          <w:caps w:val="0"/>
          <w:color w:val="333333"/>
          <w:spacing w:val="0"/>
          <w:kern w:val="44"/>
          <w:sz w:val="32"/>
          <w:szCs w:val="32"/>
          <w:shd w:val="clear" w:color="auto" w:fill="FFFFFF"/>
          <w:lang w:val="zh-CN" w:eastAsia="zh-CN" w:bidi="zh-CN"/>
        </w:rPr>
        <w:t>条</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 xml:space="preserve"> 教学平台及基地级别认定</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3" w:firstLineChars="200"/>
        <w:jc w:val="left"/>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（一）</w:t>
      </w: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国家级</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平台及基地</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国家级大学生校外实践教育基地、国家级工程实践教育中心、</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国家级</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虚拟仿真实训中心、</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国家级技能大师工作室等</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3" w:firstLineChars="200"/>
        <w:jc w:val="left"/>
        <w:textAlignment w:val="auto"/>
        <w:rPr>
          <w:rFonts w:hint="eastAsia" w:ascii="楷体" w:hAnsi="楷体" w:eastAsia="楷体" w:cs="楷体"/>
          <w:b/>
          <w:bCs w:val="0"/>
          <w:i w:val="0"/>
          <w:iCs w:val="0"/>
          <w:caps w:val="0"/>
          <w:color w:val="333333"/>
          <w:spacing w:val="0"/>
          <w:kern w:val="44"/>
          <w:sz w:val="32"/>
          <w:szCs w:val="32"/>
          <w:shd w:val="clear" w:color="auto" w:fill="FFFFFF"/>
          <w:lang w:val="zh-CN"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（二）</w:t>
      </w: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省级平台及基地</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省级大学生校外实践教育基地、省级工程实践教育中心、省级虚拟仿真实训中心、省级技能大师工作室</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等</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firstLine="643" w:firstLineChars="200"/>
        <w:jc w:val="left"/>
        <w:textAlignment w:val="auto"/>
        <w:rPr>
          <w:rFonts w:hint="eastAsia" w:ascii="楷体" w:hAnsi="楷体" w:eastAsia="楷体" w:cs="楷体"/>
          <w:b/>
          <w:bCs w:val="0"/>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（三）校级平台及基地</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i w:val="0"/>
          <w:iCs w:val="0"/>
          <w:caps w:val="0"/>
          <w:color w:val="333333"/>
          <w:spacing w:val="0"/>
          <w:kern w:val="44"/>
          <w:sz w:val="28"/>
          <w:szCs w:val="28"/>
          <w:shd w:val="clear" w:color="auto" w:fill="FFFFFF"/>
          <w:lang w:val="zh-CN" w:eastAsia="zh-CN" w:bidi="zh-CN"/>
        </w:rPr>
      </w:pPr>
      <w:r>
        <w:rPr>
          <w:rFonts w:hint="eastAsia" w:ascii="仿宋_GB2312" w:hAnsi="仿宋_GB2312" w:eastAsia="仿宋_GB2312" w:cs="仿宋_GB2312"/>
          <w:b/>
          <w:bCs w:val="0"/>
          <w:i w:val="0"/>
          <w:iCs w:val="0"/>
          <w:caps w:val="0"/>
          <w:color w:val="333333"/>
          <w:spacing w:val="0"/>
          <w:kern w:val="44"/>
          <w:sz w:val="32"/>
          <w:szCs w:val="32"/>
          <w:shd w:val="clear" w:color="auto" w:fill="FFFFFF"/>
          <w:lang w:val="en-US" w:eastAsia="zh-CN" w:bidi="zh-CN"/>
        </w:rPr>
        <w:t>第十二条</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en-US" w:eastAsia="zh-CN" w:bidi="zh-CN"/>
        </w:rPr>
        <w:t xml:space="preserve">  </w:t>
      </w:r>
      <w:r>
        <w:rPr>
          <w:rFonts w:hint="eastAsia" w:ascii="仿宋_GB2312" w:hAnsi="仿宋_GB2312" w:eastAsia="仿宋_GB2312" w:cs="仿宋_GB2312"/>
          <w:b w:val="0"/>
          <w:bCs/>
          <w:i w:val="0"/>
          <w:iCs w:val="0"/>
          <w:caps w:val="0"/>
          <w:color w:val="333333"/>
          <w:spacing w:val="0"/>
          <w:kern w:val="44"/>
          <w:sz w:val="32"/>
          <w:szCs w:val="32"/>
          <w:shd w:val="clear" w:color="auto" w:fill="FFFFFF"/>
          <w:lang w:val="zh-CN" w:eastAsia="zh-CN" w:bidi="zh-CN"/>
        </w:rPr>
        <w:t>结合各类教研项目及成果的难度、影响力及对学校学科专业建设、人才培养、服务区域经济社会发展的支撑情况，将各教研项目及成果量化计分列表如下：</w:t>
      </w:r>
    </w:p>
    <w:p>
      <w:pPr>
        <w:keepNext w:val="0"/>
        <w:keepLines w:val="0"/>
        <w:pageBreakBefore w:val="0"/>
        <w:widowControl w:val="0"/>
        <w:kinsoku/>
        <w:wordWrap/>
        <w:overflowPunct/>
        <w:topLinePunct w:val="0"/>
        <w:autoSpaceDE/>
        <w:autoSpaceDN/>
        <w:bidi w:val="0"/>
        <w:adjustRightInd/>
        <w:snapToGrid/>
        <w:spacing w:afterAutospacing="0" w:line="580" w:lineRule="exact"/>
        <w:jc w:val="center"/>
        <w:textAlignment w:val="auto"/>
        <w:rPr>
          <w:rFonts w:hint="eastAsia" w:cs="Times New Roman"/>
          <w:kern w:val="2"/>
          <w:sz w:val="32"/>
          <w:szCs w:val="32"/>
          <w:lang w:val="zh-CN" w:eastAsia="zh-CN" w:bidi="ar-SA"/>
        </w:rPr>
      </w:pPr>
      <w:r>
        <w:rPr>
          <w:rFonts w:hint="eastAsia" w:ascii="仿宋_GB2312" w:hAnsi="微软雅黑" w:eastAsia="仿宋_GB2312" w:cs="仿宋_GB2312"/>
          <w:b/>
          <w:bCs w:val="0"/>
          <w:i w:val="0"/>
          <w:iCs w:val="0"/>
          <w:caps w:val="0"/>
          <w:color w:val="333333"/>
          <w:spacing w:val="0"/>
          <w:kern w:val="44"/>
          <w:sz w:val="32"/>
          <w:szCs w:val="32"/>
          <w:shd w:val="clear" w:color="auto" w:fill="FFFFFF"/>
          <w:lang w:val="zh-CN" w:eastAsia="zh-CN" w:bidi="zh-CN"/>
        </w:rPr>
        <w:t>表1  教研项目与成果量化计分表</w:t>
      </w:r>
    </w:p>
    <w:tbl>
      <w:tblPr>
        <w:tblStyle w:val="9"/>
        <w:tblpPr w:leftFromText="180" w:rightFromText="180" w:vertAnchor="text" w:horzAnchor="page" w:tblpX="1846" w:tblpY="627"/>
        <w:tblOverlap w:val="never"/>
        <w:tblW w:w="8638" w:type="dxa"/>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1188"/>
        <w:gridCol w:w="1422"/>
        <w:gridCol w:w="1206"/>
        <w:gridCol w:w="1648"/>
        <w:gridCol w:w="1312"/>
        <w:gridCol w:w="186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868" w:hRule="atLeast"/>
        </w:trPr>
        <w:tc>
          <w:tcPr>
            <w:tcW w:w="3816" w:type="dxa"/>
            <w:gridSpan w:val="3"/>
            <w:tcBorders>
              <w:tl2br w:val="nil"/>
              <w:tr2bl w:val="nil"/>
            </w:tcBorders>
            <w:noWrap w:val="0"/>
            <w:tcMar>
              <w:left w:w="105" w:type="dxa"/>
              <w:right w:w="105" w:type="dxa"/>
            </w:tcMar>
            <w:vAlign w:val="top"/>
          </w:tcPr>
          <w:p>
            <w:pPr>
              <w:keepNext w:val="0"/>
              <w:keepLines w:val="0"/>
              <w:pageBreakBefore w:val="0"/>
              <w:widowControl/>
              <w:kinsoku/>
              <w:wordWrap/>
              <w:overflowPunct/>
              <w:topLinePunct w:val="0"/>
              <w:autoSpaceDE/>
              <w:autoSpaceDN/>
              <w:bidi w:val="0"/>
              <w:adjustRightInd/>
              <w:snapToGrid w:val="0"/>
              <w:spacing w:afterAutospacing="0" w:line="580" w:lineRule="exact"/>
              <w:jc w:val="center"/>
              <w:textAlignment w:val="auto"/>
              <w:rPr>
                <w:rFonts w:ascii="仿宋_GB2312" w:hAnsi="仿宋_GB2312" w:eastAsia="仿宋_GB2312" w:cs="仿宋_GB2312"/>
                <w:b/>
                <w:bCs w:val="0"/>
                <w:color w:val="000000" w:themeColor="text1"/>
                <w:sz w:val="30"/>
                <w:szCs w:val="30"/>
                <w14:textFill>
                  <w14:solidFill>
                    <w14:schemeClr w14:val="tx1"/>
                  </w14:solidFill>
                </w14:textFill>
              </w:rPr>
            </w:pPr>
            <w:r>
              <w:rPr>
                <w:rFonts w:ascii="仿宋_GB2312" w:hAnsi="仿宋_GB2312" w:eastAsia="仿宋_GB2312" w:cs="仿宋_GB2312"/>
                <w:b/>
                <w:bCs w:val="0"/>
                <w:color w:val="000000" w:themeColor="text1"/>
                <w:sz w:val="30"/>
                <w:szCs w:val="30"/>
                <w14:textFill>
                  <w14:solidFill>
                    <w14:schemeClr w14:val="tx1"/>
                  </w14:solidFill>
                </w14:textFill>
              </w:rPr>
              <mc:AlternateContent>
                <mc:Choice Requires="wps">
                  <w:drawing>
                    <wp:anchor distT="0" distB="0" distL="114300" distR="114300" simplePos="0" relativeHeight="251659264" behindDoc="0" locked="0" layoutInCell="1" allowOverlap="1">
                      <wp:simplePos x="0" y="0"/>
                      <wp:positionH relativeFrom="column">
                        <wp:posOffset>-57150</wp:posOffset>
                      </wp:positionH>
                      <wp:positionV relativeFrom="paragraph">
                        <wp:posOffset>12700</wp:posOffset>
                      </wp:positionV>
                      <wp:extent cx="2413000" cy="555625"/>
                      <wp:effectExtent l="1270" t="4445" r="5080" b="11430"/>
                      <wp:wrapNone/>
                      <wp:docPr id="1" name="__TH_L2"/>
                      <wp:cNvGraphicFramePr/>
                      <a:graphic xmlns:a="http://schemas.openxmlformats.org/drawingml/2006/main">
                        <a:graphicData uri="http://schemas.microsoft.com/office/word/2010/wordprocessingShape">
                          <wps:wsp>
                            <wps:cNvCnPr/>
                            <wps:spPr>
                              <a:xfrm>
                                <a:off x="0" y="0"/>
                                <a:ext cx="2413000" cy="555625"/>
                              </a:xfrm>
                              <a:prstGeom prst="line">
                                <a:avLst/>
                              </a:prstGeom>
                              <a:ln w="6350" cap="flat" cmpd="sng">
                                <a:solidFill>
                                  <a:srgbClr val="000000"/>
                                </a:solidFill>
                                <a:prstDash val="solid"/>
                                <a:headEnd type="none" w="med" len="med"/>
                                <a:tailEnd type="none" w="med" len="med"/>
                              </a:ln>
                              <a:effectLst/>
                            </wps:spPr>
                            <wps:bodyPr/>
                          </wps:wsp>
                        </a:graphicData>
                      </a:graphic>
                    </wp:anchor>
                  </w:drawing>
                </mc:Choice>
                <mc:Fallback>
                  <w:pict>
                    <v:line id="__TH_L2" o:spid="_x0000_s1026" o:spt="20" style="position:absolute;left:0pt;margin-left:-4.5pt;margin-top:1pt;height:43.75pt;width:190pt;z-index:251659264;mso-width-relative:page;mso-height-relative:page;" filled="f" stroked="t" coordsize="21600,21600" o:gfxdata="UEsDBAoAAAAAAIdO4kAAAAAAAAAAAAAAAAAEAAAAZHJzL1BLAwQUAAAACACHTuJAjrlpy9UAAAAH&#10;AQAADwAAAGRycy9kb3ducmV2LnhtbE2PMU/DMBCFdyT+g3VIbK3tokAb4nRACmJhoCBmNzZJhH2O&#10;bDcu/HqOCaZ7p3d677tmf/aOLTamKaACuRbALPbBTDgoeHvtVltgKWs02gW0Cr5sgn17edHo2oSC&#10;L3Y55IFRCKZaKxhznmvOUz9ar9M6zBbJ+wjR60xrHLiJulC4d3wjxC33ekJqGPVsH0bbfx5OXgHK&#10;/O5KyWWJ39VjJavuSTx3Sl1fSXEPLNtz/juGX3xCh5aYjuGEJjGnYLWjV7KCDQ2yb+4kiaOC7a4C&#10;3jb8P3/7A1BLAwQUAAAACACHTuJAqu6wjt0BAADhAwAADgAAAGRycy9lMm9Eb2MueG1srVNNb9sw&#10;DL0P2H8QdF/spEswGHF6aNbtUGwB1p0DRpJjAfqCqMbJvx8le1nXXXKYDzIpUk98j9T6/mwNO6mI&#10;2ruWz2c1Z8oJL7U7tvzn8+OHT5xhAifBeKdaflHI7zfv362H0KiF772RKjICcdgMoeV9SqGpKhS9&#10;soAzH5SjYOejhURuPFYywkDo1lSLul5Vg48yRC8UIu1uxyCfEOMtgL7rtFBbL16scmlEjcpAIkrY&#10;64B8U6rtOiXS965DlZhpOTFNZaVLyD7ktdqsoTlGCL0WUwlwSwlvOFnQji69Qm0hAXuJ+h8oq0X0&#10;6Ls0E95WI5GiCLGY12+0+dFDUIULSY3hKjr+P1jx7bSLTEuaBM4cWGr4fv/8df+0yNIMARvKeHC7&#10;OHkYdjHzPHfR5j8xYOci5+UqpzonJmhz8XF+V9ektKDYcrlcLZYZtPpzOkRMX5S3LBstN9plutDA&#10;6QnTmPo7JW8bx4aWr+6WGRNo9jrqOZk2UP3ojuUseqPlozYmn8B4PDyYyE6Q+1++qYS/0vIlW8B+&#10;zCuhnAZNr0B+dpKlSyBlHD0InkuwSnJmFL2fbJXMBNrckknsjcvQqkznxDMLPUqbrYOXl6J4lT3q&#10;fBFtmtI8Wq99sl+/zM0v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jrlpy9UAAAAHAQAADwAAAAAA&#10;AAABACAAAAAiAAAAZHJzL2Rvd25yZXYueG1sUEsBAhQAFAAAAAgAh07iQKrusI7dAQAA4QMAAA4A&#10;AAAAAAAAAQAgAAAAJAEAAGRycy9lMm9Eb2MueG1sUEsFBgAAAAAGAAYAWQEAAHMFAAAAAA==&#10;">
                      <v:fill on="f" focussize="0,0"/>
                      <v:stroke weight="0.5pt" color="#000000" joinstyle="round"/>
                      <v:imagedata o:title=""/>
                      <o:lock v:ext="edit" aspectratio="f"/>
                    </v:line>
                  </w:pict>
                </mc:Fallback>
              </mc:AlternateContent>
            </w:r>
            <w:r>
              <w:rPr>
                <w:rFonts w:hint="eastAsia" w:ascii="仿宋_GB2312" w:hAnsi="仿宋_GB2312" w:eastAsia="仿宋_GB2312" w:cs="仿宋_GB2312"/>
                <w:b/>
                <w:bCs w:val="0"/>
                <w:color w:val="000000" w:themeColor="text1"/>
                <w:sz w:val="30"/>
                <w:szCs w:val="30"/>
                <w:lang w:val="en-US" w:eastAsia="zh-CN"/>
                <w14:textFill>
                  <w14:solidFill>
                    <w14:schemeClr w14:val="tx1"/>
                  </w14:solidFill>
                </w14:textFill>
              </w:rPr>
              <w:t xml:space="preserve">            </w:t>
            </w:r>
            <w:r>
              <w:rPr>
                <w:rFonts w:hint="eastAsia" w:ascii="仿宋_GB2312" w:hAnsi="仿宋_GB2312" w:eastAsia="仿宋_GB2312" w:cs="仿宋_GB2312"/>
                <w:b/>
                <w:bCs w:val="0"/>
                <w:color w:val="000000" w:themeColor="text1"/>
                <w:sz w:val="30"/>
                <w:szCs w:val="30"/>
                <w14:textFill>
                  <w14:solidFill>
                    <w14:schemeClr w14:val="tx1"/>
                  </w14:solidFill>
                </w14:textFill>
              </w:rPr>
              <w:t>分值</w:t>
            </w:r>
          </w:p>
          <w:p>
            <w:pPr>
              <w:keepNext w:val="0"/>
              <w:keepLines w:val="0"/>
              <w:pageBreakBefore w:val="0"/>
              <w:widowControl/>
              <w:kinsoku/>
              <w:wordWrap/>
              <w:overflowPunct/>
              <w:topLinePunct w:val="0"/>
              <w:autoSpaceDE/>
              <w:autoSpaceDN/>
              <w:bidi w:val="0"/>
              <w:adjustRightInd/>
              <w:snapToGrid w:val="0"/>
              <w:spacing w:afterAutospacing="0" w:line="580" w:lineRule="exact"/>
              <w:ind w:right="0" w:rightChars="0" w:firstLine="904" w:firstLineChars="300"/>
              <w:textAlignment w:val="auto"/>
              <w:rPr>
                <w:rFonts w:hint="eastAsia" w:ascii="仿宋_GB2312" w:hAnsi="仿宋_GB2312" w:eastAsia="仿宋_GB2312" w:cs="仿宋_GB2312"/>
                <w:b/>
                <w:bCs w:val="0"/>
                <w:color w:val="000000" w:themeColor="text1"/>
                <w:sz w:val="30"/>
                <w:szCs w:val="30"/>
                <w:lang w:val="zh-CN" w:eastAsia="zh-CN" w:bidi="zh-CN"/>
                <w14:textFill>
                  <w14:solidFill>
                    <w14:schemeClr w14:val="tx1"/>
                  </w14:solidFill>
                </w14:textFill>
              </w:rPr>
            </w:pPr>
            <w:r>
              <w:rPr>
                <w:rFonts w:hint="eastAsia" w:ascii="仿宋_GB2312" w:hAnsi="仿宋_GB2312" w:eastAsia="仿宋_GB2312" w:cs="仿宋_GB2312"/>
                <w:b/>
                <w:bCs w:val="0"/>
                <w:color w:val="000000" w:themeColor="text1"/>
                <w:sz w:val="30"/>
                <w:szCs w:val="30"/>
                <w14:textFill>
                  <w14:solidFill>
                    <w14:schemeClr w14:val="tx1"/>
                  </w14:solidFill>
                </w14:textFill>
              </w:rPr>
              <w:t>级别</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bCs w:val="0"/>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bCs w:val="0"/>
                <w:i w:val="0"/>
                <w:iCs w:val="0"/>
                <w:caps w:val="0"/>
                <w:color w:val="333333"/>
                <w:spacing w:val="0"/>
                <w:kern w:val="44"/>
                <w:sz w:val="30"/>
                <w:szCs w:val="30"/>
                <w:shd w:val="clear" w:color="auto" w:fill="FFFFFF"/>
                <w:lang w:val="en-US" w:eastAsia="zh-CN" w:bidi="zh-CN"/>
              </w:rPr>
              <w:t>A</w:t>
            </w:r>
            <w:r>
              <w:rPr>
                <w:rFonts w:hint="eastAsia" w:ascii="仿宋_GB2312" w:hAnsi="微软雅黑" w:eastAsia="仿宋_GB2312" w:cs="仿宋_GB2312"/>
                <w:b/>
                <w:bCs w:val="0"/>
                <w:i w:val="0"/>
                <w:iCs w:val="0"/>
                <w:caps w:val="0"/>
                <w:color w:val="333333"/>
                <w:spacing w:val="0"/>
                <w:kern w:val="44"/>
                <w:sz w:val="30"/>
                <w:szCs w:val="30"/>
                <w:shd w:val="clear" w:color="auto" w:fill="FFFFFF"/>
                <w:lang w:val="zh-CN" w:eastAsia="zh-CN" w:bidi="zh-CN"/>
              </w:rPr>
              <w:t>分</w:t>
            </w: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bCs w:val="0"/>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bCs w:val="0"/>
                <w:i w:val="0"/>
                <w:iCs w:val="0"/>
                <w:caps w:val="0"/>
                <w:color w:val="333333"/>
                <w:spacing w:val="0"/>
                <w:kern w:val="44"/>
                <w:sz w:val="30"/>
                <w:szCs w:val="30"/>
                <w:shd w:val="clear" w:color="auto" w:fill="FFFFFF"/>
                <w:lang w:val="en-US" w:eastAsia="zh-CN" w:bidi="zh-CN"/>
              </w:rPr>
              <w:t>B</w:t>
            </w:r>
            <w:r>
              <w:rPr>
                <w:rFonts w:hint="eastAsia" w:ascii="仿宋_GB2312" w:hAnsi="微软雅黑" w:eastAsia="仿宋_GB2312" w:cs="仿宋_GB2312"/>
                <w:b/>
                <w:bCs w:val="0"/>
                <w:i w:val="0"/>
                <w:iCs w:val="0"/>
                <w:caps w:val="0"/>
                <w:color w:val="333333"/>
                <w:spacing w:val="0"/>
                <w:kern w:val="44"/>
                <w:sz w:val="30"/>
                <w:szCs w:val="30"/>
                <w:shd w:val="clear" w:color="auto" w:fill="FFFFFF"/>
                <w:lang w:val="zh-CN" w:eastAsia="zh-CN" w:bidi="zh-CN"/>
              </w:rPr>
              <w:t>分</w:t>
            </w: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bCs w:val="0"/>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bCs w:val="0"/>
                <w:i w:val="0"/>
                <w:iCs w:val="0"/>
                <w:caps w:val="0"/>
                <w:color w:val="333333"/>
                <w:spacing w:val="0"/>
                <w:kern w:val="44"/>
                <w:sz w:val="30"/>
                <w:szCs w:val="30"/>
                <w:shd w:val="clear" w:color="auto" w:fill="FFFFFF"/>
                <w:lang w:val="zh-CN" w:eastAsia="zh-CN" w:bidi="zh-CN"/>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60" w:hRule="atLeast"/>
        </w:trPr>
        <w:tc>
          <w:tcPr>
            <w:tcW w:w="1188" w:type="dxa"/>
            <w:vMerge w:val="restart"/>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教研</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项目</w:t>
            </w:r>
          </w:p>
        </w:tc>
        <w:tc>
          <w:tcPr>
            <w:tcW w:w="1422" w:type="dxa"/>
            <w:vMerge w:val="restart"/>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国家级</w:t>
            </w: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Ⅰ类</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1000</w:t>
            </w: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Ⅱ类</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600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Ⅲ类</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400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restart"/>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省级</w:t>
            </w: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Ⅰ类</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leftChars="0" w:right="0" w:rightChars="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300</w:t>
            </w: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leftChars="0" w:right="0" w:rightChars="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Ⅱ类</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leftChars="0" w:right="0" w:rightChars="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200</w:t>
            </w: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leftChars="0" w:right="0" w:rightChars="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pP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885"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Ⅲ类</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40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default"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200</w:t>
            </w: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t>省教改、教育部产学研育人项目等计B分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restart"/>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校级</w:t>
            </w: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leftChars="0" w:right="0" w:rightChars="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Ⅰ类</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leftChars="0" w:right="0" w:rightChars="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pP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leftChars="0" w:right="0" w:rightChars="0"/>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200</w:t>
            </w: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26" w:hRule="atLeast"/>
        </w:trPr>
        <w:tc>
          <w:tcPr>
            <w:tcW w:w="1188" w:type="dxa"/>
            <w:vMerge w:val="continue"/>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Ⅱ类</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pP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default"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100</w:t>
            </w: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26" w:hRule="atLeast"/>
        </w:trPr>
        <w:tc>
          <w:tcPr>
            <w:tcW w:w="1188" w:type="dxa"/>
            <w:vMerge w:val="continue"/>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Ⅲ类</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default"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50</w:t>
            </w: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26" w:hRule="atLeast"/>
        </w:trPr>
        <w:tc>
          <w:tcPr>
            <w:tcW w:w="1188" w:type="dxa"/>
            <w:vMerge w:val="restart"/>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教学</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团队</w:t>
            </w:r>
          </w:p>
        </w:tc>
        <w:tc>
          <w:tcPr>
            <w:tcW w:w="2628" w:type="dxa"/>
            <w:gridSpan w:val="2"/>
            <w:tcBorders>
              <w:tl2br w:val="nil"/>
              <w:tr2bl w:val="nil"/>
            </w:tcBorders>
            <w:noWrap w:val="0"/>
            <w:tcMar>
              <w:left w:w="105" w:type="dxa"/>
              <w:right w:w="105" w:type="dxa"/>
            </w:tcMar>
            <w:vAlign w:val="top"/>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国家级</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1000</w:t>
            </w: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26" w:hRule="atLeast"/>
        </w:trPr>
        <w:tc>
          <w:tcPr>
            <w:tcW w:w="1188" w:type="dxa"/>
            <w:vMerge w:val="continue"/>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2628" w:type="dxa"/>
            <w:gridSpan w:val="2"/>
            <w:tcBorders>
              <w:tl2br w:val="nil"/>
              <w:tr2bl w:val="nil"/>
            </w:tcBorders>
            <w:noWrap w:val="0"/>
            <w:tcMar>
              <w:left w:w="105" w:type="dxa"/>
              <w:right w:w="105" w:type="dxa"/>
            </w:tcMar>
            <w:vAlign w:val="top"/>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省级</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400</w:t>
            </w: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26" w:hRule="atLeast"/>
        </w:trPr>
        <w:tc>
          <w:tcPr>
            <w:tcW w:w="1188" w:type="dxa"/>
            <w:vMerge w:val="continue"/>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2628" w:type="dxa"/>
            <w:gridSpan w:val="2"/>
            <w:tcBorders>
              <w:tl2br w:val="nil"/>
              <w:tr2bl w:val="nil"/>
            </w:tcBorders>
            <w:noWrap w:val="0"/>
            <w:tcMar>
              <w:left w:w="105" w:type="dxa"/>
              <w:right w:w="105" w:type="dxa"/>
            </w:tcMar>
            <w:vAlign w:val="top"/>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校级</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default"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200</w:t>
            </w: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26" w:hRule="atLeast"/>
        </w:trPr>
        <w:tc>
          <w:tcPr>
            <w:tcW w:w="1188" w:type="dxa"/>
            <w:vMerge w:val="restart"/>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教学</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名师</w:t>
            </w:r>
          </w:p>
        </w:tc>
        <w:tc>
          <w:tcPr>
            <w:tcW w:w="2628" w:type="dxa"/>
            <w:gridSpan w:val="2"/>
            <w:tcBorders>
              <w:tl2br w:val="nil"/>
              <w:tr2bl w:val="nil"/>
            </w:tcBorders>
            <w:noWrap w:val="0"/>
            <w:tcMar>
              <w:left w:w="105" w:type="dxa"/>
              <w:right w:w="105" w:type="dxa"/>
            </w:tcMar>
            <w:vAlign w:val="top"/>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国家级</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500</w:t>
            </w: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2628" w:type="dxa"/>
            <w:gridSpan w:val="2"/>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省级</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200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2628" w:type="dxa"/>
            <w:gridSpan w:val="2"/>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校级</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default"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100</w:t>
            </w: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26" w:hRule="atLeast"/>
        </w:trPr>
        <w:tc>
          <w:tcPr>
            <w:tcW w:w="1188" w:type="dxa"/>
            <w:vMerge w:val="restart"/>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教材</w:t>
            </w:r>
          </w:p>
        </w:tc>
        <w:tc>
          <w:tcPr>
            <w:tcW w:w="2628" w:type="dxa"/>
            <w:gridSpan w:val="2"/>
            <w:tcBorders>
              <w:tl2br w:val="nil"/>
              <w:tr2bl w:val="nil"/>
            </w:tcBorders>
            <w:noWrap w:val="0"/>
            <w:tcMar>
              <w:left w:w="105" w:type="dxa"/>
              <w:right w:w="105" w:type="dxa"/>
            </w:tcMar>
            <w:vAlign w:val="top"/>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国家级</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500</w:t>
            </w: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2628" w:type="dxa"/>
            <w:gridSpan w:val="2"/>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省级</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200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2628" w:type="dxa"/>
            <w:gridSpan w:val="2"/>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t>普通教材</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40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26" w:hRule="atLeast"/>
        </w:trPr>
        <w:tc>
          <w:tcPr>
            <w:tcW w:w="1188" w:type="dxa"/>
            <w:vMerge w:val="restart"/>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教学成果奖</w:t>
            </w:r>
          </w:p>
        </w:tc>
        <w:tc>
          <w:tcPr>
            <w:tcW w:w="1422" w:type="dxa"/>
            <w:vMerge w:val="restart"/>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国家级</w:t>
            </w: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leftChars="0" w:right="0" w:rightChars="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一等奖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2000</w:t>
            </w: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二等奖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1000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三等奖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800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restart"/>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省级</w:t>
            </w: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特等奖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400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一等奖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300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二等奖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200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15"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restart"/>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校级</w:t>
            </w: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一等奖</w:t>
            </w:r>
          </w:p>
        </w:tc>
        <w:tc>
          <w:tcPr>
            <w:tcW w:w="1648"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leftChars="0" w:right="0" w:rightChars="0"/>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200</w:t>
            </w: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二等奖</w:t>
            </w:r>
          </w:p>
        </w:tc>
        <w:tc>
          <w:tcPr>
            <w:tcW w:w="1648"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rightChars="0"/>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100</w:t>
            </w: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165"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三等奖</w:t>
            </w:r>
          </w:p>
        </w:tc>
        <w:tc>
          <w:tcPr>
            <w:tcW w:w="1648"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rightChars="0"/>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50</w:t>
            </w: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26" w:hRule="atLeast"/>
        </w:trPr>
        <w:tc>
          <w:tcPr>
            <w:tcW w:w="1188" w:type="dxa"/>
            <w:vMerge w:val="restart"/>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教学（技能）竞赛</w:t>
            </w:r>
          </w:p>
        </w:tc>
        <w:tc>
          <w:tcPr>
            <w:tcW w:w="1422" w:type="dxa"/>
            <w:vMerge w:val="restart"/>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国家级</w:t>
            </w: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leftChars="0" w:right="0" w:rightChars="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一等奖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1000</w:t>
            </w: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二等奖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800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三等奖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600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restart"/>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省级</w:t>
            </w: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一等奖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200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二等奖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100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三等奖</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50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restart"/>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校级</w:t>
            </w: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一等奖</w:t>
            </w:r>
          </w:p>
        </w:tc>
        <w:tc>
          <w:tcPr>
            <w:tcW w:w="1648"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leftChars="0" w:right="0" w:rightChars="0"/>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200</w:t>
            </w: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二等奖</w:t>
            </w:r>
          </w:p>
        </w:tc>
        <w:tc>
          <w:tcPr>
            <w:tcW w:w="1648"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rightChars="0"/>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100</w:t>
            </w: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422"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206" w:type="dxa"/>
            <w:tcBorders>
              <w:tl2br w:val="nil"/>
              <w:tr2bl w:val="nil"/>
            </w:tcBorders>
            <w:noWrap w:val="0"/>
            <w:tcMar>
              <w:left w:w="105" w:type="dxa"/>
              <w:right w:w="105" w:type="dxa"/>
            </w:tcMar>
            <w:vAlign w:val="top"/>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三等奖</w:t>
            </w:r>
          </w:p>
        </w:tc>
        <w:tc>
          <w:tcPr>
            <w:tcW w:w="1648"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rightChars="0"/>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50</w:t>
            </w: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285" w:hRule="atLeast"/>
        </w:trPr>
        <w:tc>
          <w:tcPr>
            <w:tcW w:w="1188" w:type="dxa"/>
            <w:vMerge w:val="restart"/>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平台及基地</w:t>
            </w:r>
          </w:p>
        </w:tc>
        <w:tc>
          <w:tcPr>
            <w:tcW w:w="2628" w:type="dxa"/>
            <w:gridSpan w:val="2"/>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国家级</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firstLine="600" w:firstLineChars="200"/>
              <w:jc w:val="both"/>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1000</w:t>
            </w:r>
          </w:p>
        </w:tc>
        <w:tc>
          <w:tcPr>
            <w:tcW w:w="131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50"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2628" w:type="dxa"/>
            <w:gridSpan w:val="2"/>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省级</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400</w:t>
            </w: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auto"/>
                <w:spacing w:val="0"/>
                <w:kern w:val="44"/>
                <w:sz w:val="30"/>
                <w:szCs w:val="30"/>
                <w:shd w:val="clear" w:color="auto" w:fill="FFFFFF"/>
                <w:lang w:val="zh-CN" w:eastAsia="zh-CN" w:bidi="zh-CN"/>
              </w:rPr>
            </w:pP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465" w:hRule="atLeast"/>
        </w:trPr>
        <w:tc>
          <w:tcPr>
            <w:tcW w:w="1188" w:type="dxa"/>
            <w:vMerge w:val="continue"/>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2628" w:type="dxa"/>
            <w:gridSpan w:val="2"/>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校级</w:t>
            </w:r>
          </w:p>
        </w:tc>
        <w:tc>
          <w:tcPr>
            <w:tcW w:w="1648" w:type="dxa"/>
            <w:tcBorders>
              <w:tl2br w:val="nil"/>
              <w:tr2bl w:val="nil"/>
            </w:tcBorders>
            <w:noWrap w:val="0"/>
            <w:tcMar>
              <w:left w:w="105" w:type="dxa"/>
              <w:right w:w="105" w:type="dxa"/>
            </w:tcMar>
            <w:vAlign w:val="center"/>
          </w:tcPr>
          <w:p>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c>
          <w:tcPr>
            <w:tcW w:w="131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default" w:ascii="仿宋_GB2312" w:hAnsi="微软雅黑" w:eastAsia="仿宋_GB2312" w:cs="仿宋_GB2312"/>
                <w:b w:val="0"/>
                <w:bCs/>
                <w:i w:val="0"/>
                <w:iCs w:val="0"/>
                <w:caps w:val="0"/>
                <w:color w:val="auto"/>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auto"/>
                <w:spacing w:val="0"/>
                <w:kern w:val="44"/>
                <w:sz w:val="30"/>
                <w:szCs w:val="30"/>
                <w:shd w:val="clear" w:color="auto" w:fill="FFFFFF"/>
                <w:lang w:val="en-US" w:eastAsia="zh-CN" w:bidi="zh-CN"/>
              </w:rPr>
              <w:t>200</w:t>
            </w:r>
          </w:p>
        </w:tc>
        <w:tc>
          <w:tcPr>
            <w:tcW w:w="1862" w:type="dxa"/>
            <w:tcBorders>
              <w:tl2br w:val="nil"/>
              <w:tr2bl w:val="nil"/>
            </w:tcBorders>
            <w:noWrap w:val="0"/>
            <w:tcMar>
              <w:left w:w="105" w:type="dxa"/>
              <w:right w:w="105" w:type="dxa"/>
            </w:tcMar>
            <w:vAlign w:val="center"/>
          </w:tcPr>
          <w:p>
            <w:pPr>
              <w:keepNext w:val="0"/>
              <w:keepLines w:val="0"/>
              <w:pageBreakBefore w:val="0"/>
              <w:widowControl w:val="0"/>
              <w:kinsoku/>
              <w:wordWrap/>
              <w:overflowPunct/>
              <w:topLinePunct w:val="0"/>
              <w:autoSpaceDE/>
              <w:autoSpaceDN/>
              <w:bidi w:val="0"/>
              <w:adjustRightInd w:val="0"/>
              <w:snapToGrid w:val="0"/>
              <w:spacing w:afterAutospacing="0" w:line="580" w:lineRule="exact"/>
              <w:jc w:val="center"/>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p>
        </w:tc>
      </w:tr>
    </w:tbl>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50" w:beforeLines="8" w:beforeAutospacing="0" w:after="0" w:afterAutospacing="0" w:line="580" w:lineRule="exact"/>
        <w:ind w:left="0" w:right="0" w:firstLine="600" w:firstLineChars="200"/>
        <w:jc w:val="both"/>
        <w:textAlignment w:val="auto"/>
        <w:rPr>
          <w:rFonts w:hint="default" w:ascii="仿宋_GB2312" w:hAnsi="微软雅黑" w:eastAsia="仿宋_GB2312" w:cs="仿宋_GB2312"/>
          <w:b w:val="0"/>
          <w:bCs/>
          <w:i w:val="0"/>
          <w:iCs w:val="0"/>
          <w:caps w:val="0"/>
          <w:color w:val="333333"/>
          <w:spacing w:val="0"/>
          <w:kern w:val="44"/>
          <w:sz w:val="30"/>
          <w:szCs w:val="30"/>
          <w:shd w:val="clear" w:color="auto" w:fill="FFFFFF"/>
          <w:lang w:val="en-US"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t>注</w:t>
      </w: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w:t>
      </w:r>
      <w:r>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t>①</w:t>
      </w: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同一项目</w:t>
      </w:r>
      <w:r>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t>同一年度</w:t>
      </w: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获批不同级别奖励的，按照就高原则奖励，不重复奖励；</w:t>
      </w:r>
      <w:r>
        <w:rPr>
          <w:rFonts w:hint="eastAsia" w:ascii="仿宋_GB2312" w:hAnsi="微软雅黑" w:eastAsia="仿宋_GB2312" w:cs="仿宋_GB2312"/>
          <w:b w:val="0"/>
          <w:bCs/>
          <w:i w:val="0"/>
          <w:iCs w:val="0"/>
          <w:caps w:val="0"/>
          <w:color w:val="333333"/>
          <w:spacing w:val="0"/>
          <w:kern w:val="44"/>
          <w:sz w:val="30"/>
          <w:szCs w:val="30"/>
          <w:shd w:val="clear" w:color="auto" w:fill="FFFFFF"/>
          <w:lang w:val="en-US" w:eastAsia="zh-CN" w:bidi="zh-CN"/>
        </w:rPr>
        <w:t>②获得优秀奖按照三等奖奖励分值的一半予以认定，优秀指导老师不奖励；③B分按照10：1核算为A分。</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第十</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三</w:t>
      </w: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条</w:t>
      </w:r>
      <w:r>
        <w:rPr>
          <w:rFonts w:hint="eastAsia" w:ascii="仿宋_GB2312" w:hAnsi="微软雅黑" w:eastAsia="仿宋_GB2312" w:cs="仿宋_GB2312"/>
          <w:b w:val="0"/>
          <w:bCs/>
          <w:i w:val="0"/>
          <w:iCs w:val="0"/>
          <w:caps w:val="0"/>
          <w:color w:val="333333"/>
          <w:spacing w:val="0"/>
          <w:kern w:val="44"/>
          <w:sz w:val="28"/>
          <w:szCs w:val="28"/>
          <w:shd w:val="clear" w:color="auto" w:fill="FFFFFF"/>
          <w:lang w:val="zh-CN" w:eastAsia="zh-CN" w:bidi="zh-CN"/>
        </w:rPr>
        <w:t xml:space="preserve"> </w:t>
      </w:r>
      <w:r>
        <w:rPr>
          <w:rFonts w:hint="eastAsia" w:ascii="仿宋_GB2312" w:hAnsi="微软雅黑" w:eastAsia="仿宋_GB2312" w:cs="仿宋_GB2312"/>
          <w:b w:val="0"/>
          <w:bCs/>
          <w:i w:val="0"/>
          <w:iCs w:val="0"/>
          <w:caps w:val="0"/>
          <w:color w:val="333333"/>
          <w:spacing w:val="0"/>
          <w:kern w:val="44"/>
          <w:sz w:val="28"/>
          <w:szCs w:val="28"/>
          <w:shd w:val="clear" w:color="auto" w:fill="FFFFFF"/>
          <w:lang w:val="en-US" w:eastAsia="zh-CN" w:bidi="zh-CN"/>
        </w:rPr>
        <w:t xml:space="preserve"> </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为了提升教师</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教研</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能力与水平，提高教师所在研究领域的成果积淀，为我校</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教学</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团队建设、学科专业建设和重大课题及成果突破做好铺垫，学校鼓励教师积极参与校外单位主持完成的课题、</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教材、成果奖</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等</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教研</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项目及成果。对参与外单位主持完成的</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教</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研成果，予以量化计</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B</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分，分值按下表计算：</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center"/>
        <w:textAlignment w:val="auto"/>
        <w:rPr>
          <w:rFonts w:hint="eastAsia" w:ascii="仿宋_GB2312" w:hAnsi="微软雅黑" w:eastAsia="仿宋_GB2312" w:cs="仿宋_GB2312"/>
          <w:b/>
          <w:bCs w:val="0"/>
          <w:i w:val="0"/>
          <w:iCs w:val="0"/>
          <w:caps w:val="0"/>
          <w:color w:val="333333"/>
          <w:spacing w:val="0"/>
          <w:kern w:val="44"/>
          <w:sz w:val="32"/>
          <w:szCs w:val="32"/>
          <w:shd w:val="clear" w:color="auto" w:fill="FFFFFF"/>
          <w:lang w:val="zh-CN" w:eastAsia="zh-CN" w:bidi="zh-CN"/>
        </w:rPr>
      </w:pPr>
      <w:r>
        <w:rPr>
          <w:rFonts w:hint="eastAsia" w:ascii="仿宋_GB2312" w:hAnsi="微软雅黑" w:eastAsia="仿宋_GB2312" w:cs="仿宋_GB2312"/>
          <w:b/>
          <w:bCs w:val="0"/>
          <w:i w:val="0"/>
          <w:iCs w:val="0"/>
          <w:caps w:val="0"/>
          <w:color w:val="333333"/>
          <w:spacing w:val="0"/>
          <w:kern w:val="44"/>
          <w:sz w:val="32"/>
          <w:szCs w:val="32"/>
          <w:shd w:val="clear" w:color="auto" w:fill="FFFFFF"/>
          <w:lang w:val="zh-CN" w:eastAsia="zh-CN" w:bidi="zh-CN"/>
        </w:rPr>
        <w:t>表2  参与外单位</w:t>
      </w:r>
      <w:r>
        <w:rPr>
          <w:rFonts w:hint="eastAsia" w:ascii="仿宋_GB2312" w:hAnsi="微软雅黑" w:eastAsia="仿宋_GB2312" w:cs="仿宋_GB2312"/>
          <w:b/>
          <w:bCs w:val="0"/>
          <w:i w:val="0"/>
          <w:iCs w:val="0"/>
          <w:caps w:val="0"/>
          <w:color w:val="333333"/>
          <w:spacing w:val="0"/>
          <w:kern w:val="44"/>
          <w:sz w:val="32"/>
          <w:szCs w:val="32"/>
          <w:shd w:val="clear" w:color="auto" w:fill="FFFFFF"/>
          <w:lang w:val="en-US" w:eastAsia="zh-CN" w:bidi="zh-CN"/>
        </w:rPr>
        <w:t>教</w:t>
      </w:r>
      <w:r>
        <w:rPr>
          <w:rFonts w:hint="eastAsia" w:ascii="仿宋_GB2312" w:hAnsi="微软雅黑" w:eastAsia="仿宋_GB2312" w:cs="仿宋_GB2312"/>
          <w:b/>
          <w:bCs w:val="0"/>
          <w:i w:val="0"/>
          <w:iCs w:val="0"/>
          <w:caps w:val="0"/>
          <w:color w:val="333333"/>
          <w:spacing w:val="0"/>
          <w:kern w:val="44"/>
          <w:sz w:val="32"/>
          <w:szCs w:val="32"/>
          <w:shd w:val="clear" w:color="auto" w:fill="FFFFFF"/>
          <w:lang w:val="zh-CN" w:eastAsia="zh-CN" w:bidi="zh-CN"/>
        </w:rPr>
        <w:t>研分值分配表</w:t>
      </w:r>
    </w:p>
    <w:tbl>
      <w:tblPr>
        <w:tblStyle w:val="9"/>
        <w:tblpPr w:leftFromText="180" w:rightFromText="180" w:vertAnchor="text" w:horzAnchor="page" w:tblpX="2123" w:tblpY="249"/>
        <w:tblOverlap w:val="never"/>
        <w:tblW w:w="78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2460"/>
        <w:gridCol w:w="1335"/>
        <w:gridCol w:w="1335"/>
        <w:gridCol w:w="1335"/>
        <w:gridCol w:w="13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450" w:hRule="atLeast"/>
        </w:trPr>
        <w:tc>
          <w:tcPr>
            <w:tcW w:w="2460" w:type="dxa"/>
            <w:tcBorders>
              <w:top w:val="single" w:color="auto" w:sz="6" w:space="0"/>
              <w:left w:val="single" w:color="auto" w:sz="6" w:space="0"/>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仿宋_GB2312" w:eastAsia="仿宋_GB2312" w:cs="仿宋_GB2312"/>
                <w:b/>
                <w:bCs w:val="0"/>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bCs w:val="0"/>
                <w:i w:val="0"/>
                <w:iCs w:val="0"/>
                <w:caps w:val="0"/>
                <w:color w:val="333333"/>
                <w:spacing w:val="0"/>
                <w:kern w:val="44"/>
                <w:sz w:val="30"/>
                <w:szCs w:val="30"/>
                <w:shd w:val="clear" w:color="auto" w:fill="FFFFFF"/>
                <w:lang w:val="zh-CN" w:eastAsia="zh-CN" w:bidi="zh-CN"/>
              </w:rPr>
              <w:t>总人数</w:t>
            </w:r>
          </w:p>
        </w:tc>
        <w:tc>
          <w:tcPr>
            <w:tcW w:w="5400" w:type="dxa"/>
            <w:gridSpan w:val="4"/>
            <w:tcBorders>
              <w:top w:val="single" w:color="auto" w:sz="6" w:space="0"/>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仿宋_GB2312" w:eastAsia="仿宋_GB2312" w:cs="仿宋_GB2312"/>
                <w:b/>
                <w:bCs w:val="0"/>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bCs w:val="0"/>
                <w:i w:val="0"/>
                <w:iCs w:val="0"/>
                <w:caps w:val="0"/>
                <w:color w:val="333333"/>
                <w:spacing w:val="0"/>
                <w:kern w:val="44"/>
                <w:sz w:val="30"/>
                <w:szCs w:val="30"/>
                <w:shd w:val="clear" w:color="auto" w:fill="FFFFFF"/>
                <w:lang w:val="zh-CN" w:eastAsia="zh-CN" w:bidi="zh-CN"/>
              </w:rPr>
              <w:t>排序及所占比例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450" w:hRule="atLeast"/>
        </w:trPr>
        <w:tc>
          <w:tcPr>
            <w:tcW w:w="2460" w:type="dxa"/>
            <w:vMerge w:val="restart"/>
            <w:tcBorders>
              <w:top w:val="nil"/>
              <w:left w:val="single" w:color="auto" w:sz="6" w:space="0"/>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2</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2</w:t>
            </w:r>
          </w:p>
        </w:tc>
        <w:tc>
          <w:tcPr>
            <w:tcW w:w="1335" w:type="dxa"/>
            <w:tcBorders>
              <w:top w:val="single" w:color="auto" w:sz="6" w:space="0"/>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c>
          <w:tcPr>
            <w:tcW w:w="1335" w:type="dxa"/>
            <w:tcBorders>
              <w:top w:val="single" w:color="auto" w:sz="6" w:space="0"/>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c>
          <w:tcPr>
            <w:tcW w:w="1395" w:type="dxa"/>
            <w:tcBorders>
              <w:top w:val="single" w:color="auto" w:sz="6" w:space="0"/>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50" w:hRule="atLeast"/>
        </w:trPr>
        <w:tc>
          <w:tcPr>
            <w:tcW w:w="2460" w:type="dxa"/>
            <w:vMerge w:val="continue"/>
            <w:tcBorders>
              <w:top w:val="nil"/>
              <w:left w:val="single" w:color="auto" w:sz="6" w:space="0"/>
              <w:bottom w:val="single" w:color="auto" w:sz="6" w:space="0"/>
              <w:right w:val="single" w:color="auto" w:sz="6" w:space="0"/>
            </w:tcBorders>
            <w:shd w:val="clear" w:color="auto" w:fill="FFFFFF"/>
            <w:vAlign w:val="center"/>
          </w:tcPr>
          <w:p>
            <w:pPr>
              <w:keepNext w:val="0"/>
              <w:keepLines w:val="0"/>
              <w:pageBreakBefore w:val="0"/>
              <w:kinsoku/>
              <w:overflowPunct/>
              <w:topLinePunct w:val="0"/>
              <w:autoSpaceDE/>
              <w:autoSpaceDN/>
              <w:bidi w:val="0"/>
              <w:spacing w:afterAutospacing="0" w:line="580" w:lineRule="exact"/>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80" w:lineRule="exact"/>
              <w:ind w:left="0"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40%</w:t>
            </w:r>
          </w:p>
        </w:tc>
        <w:tc>
          <w:tcPr>
            <w:tcW w:w="1335" w:type="dxa"/>
            <w:tcBorders>
              <w:top w:val="nil"/>
              <w:left w:val="nil"/>
              <w:bottom w:val="single" w:color="auto" w:sz="6" w:space="0"/>
              <w:right w:val="single" w:color="auto" w:sz="6" w:space="0"/>
            </w:tcBorders>
            <w:shd w:val="clear" w:color="auto" w:fill="FFFFFF"/>
            <w:vAlign w:val="center"/>
          </w:tcPr>
          <w:p>
            <w:pPr>
              <w:keepNext w:val="0"/>
              <w:keepLines w:val="0"/>
              <w:pageBreakBefore w:val="0"/>
              <w:kinsoku/>
              <w:overflowPunct/>
              <w:topLinePunct w:val="0"/>
              <w:autoSpaceDE/>
              <w:autoSpaceDN/>
              <w:bidi w:val="0"/>
              <w:spacing w:afterAutospacing="0" w:line="580" w:lineRule="exact"/>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c>
          <w:tcPr>
            <w:tcW w:w="1335" w:type="dxa"/>
            <w:tcBorders>
              <w:top w:val="nil"/>
              <w:left w:val="nil"/>
              <w:bottom w:val="single" w:color="auto" w:sz="6" w:space="0"/>
              <w:right w:val="single" w:color="auto" w:sz="6" w:space="0"/>
            </w:tcBorders>
            <w:shd w:val="clear" w:color="auto" w:fill="FFFFFF"/>
            <w:vAlign w:val="center"/>
          </w:tcPr>
          <w:p>
            <w:pPr>
              <w:keepNext w:val="0"/>
              <w:keepLines w:val="0"/>
              <w:pageBreakBefore w:val="0"/>
              <w:kinsoku/>
              <w:overflowPunct/>
              <w:topLinePunct w:val="0"/>
              <w:autoSpaceDE/>
              <w:autoSpaceDN/>
              <w:bidi w:val="0"/>
              <w:spacing w:afterAutospacing="0" w:line="580" w:lineRule="exact"/>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c>
          <w:tcPr>
            <w:tcW w:w="1395" w:type="dxa"/>
            <w:tcBorders>
              <w:top w:val="nil"/>
              <w:left w:val="nil"/>
              <w:bottom w:val="single" w:color="auto" w:sz="6" w:space="0"/>
              <w:right w:val="single" w:color="auto" w:sz="6" w:space="0"/>
            </w:tcBorders>
            <w:shd w:val="clear" w:color="auto" w:fill="FFFFFF"/>
            <w:vAlign w:val="center"/>
          </w:tcPr>
          <w:p>
            <w:pPr>
              <w:keepNext w:val="0"/>
              <w:keepLines w:val="0"/>
              <w:pageBreakBefore w:val="0"/>
              <w:kinsoku/>
              <w:overflowPunct/>
              <w:topLinePunct w:val="0"/>
              <w:autoSpaceDE/>
              <w:autoSpaceDN/>
              <w:bidi w:val="0"/>
              <w:spacing w:afterAutospacing="0" w:line="580" w:lineRule="exact"/>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rHeight w:val="450" w:hRule="atLeast"/>
        </w:trPr>
        <w:tc>
          <w:tcPr>
            <w:tcW w:w="2460" w:type="dxa"/>
            <w:vMerge w:val="restart"/>
            <w:tcBorders>
              <w:top w:val="nil"/>
              <w:left w:val="single" w:color="auto" w:sz="6" w:space="0"/>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3</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2</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3</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c>
          <w:tcPr>
            <w:tcW w:w="139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450" w:hRule="atLeast"/>
        </w:trPr>
        <w:tc>
          <w:tcPr>
            <w:tcW w:w="2460" w:type="dxa"/>
            <w:vMerge w:val="continue"/>
            <w:tcBorders>
              <w:top w:val="nil"/>
              <w:left w:val="single" w:color="auto" w:sz="6" w:space="0"/>
              <w:bottom w:val="single" w:color="auto" w:sz="6" w:space="0"/>
              <w:right w:val="single" w:color="auto" w:sz="6" w:space="0"/>
            </w:tcBorders>
            <w:shd w:val="clear" w:color="auto" w:fill="FFFFFF"/>
            <w:vAlign w:val="center"/>
          </w:tcPr>
          <w:p>
            <w:pPr>
              <w:keepNext w:val="0"/>
              <w:keepLines w:val="0"/>
              <w:pageBreakBefore w:val="0"/>
              <w:kinsoku/>
              <w:overflowPunct/>
              <w:topLinePunct w:val="0"/>
              <w:autoSpaceDE/>
              <w:autoSpaceDN/>
              <w:bidi w:val="0"/>
              <w:spacing w:afterAutospacing="0" w:line="580" w:lineRule="exact"/>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80" w:lineRule="exact"/>
              <w:ind w:left="0"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30%</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80" w:lineRule="exact"/>
              <w:ind w:left="0"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20%</w:t>
            </w:r>
          </w:p>
        </w:tc>
        <w:tc>
          <w:tcPr>
            <w:tcW w:w="1335" w:type="dxa"/>
            <w:tcBorders>
              <w:top w:val="nil"/>
              <w:left w:val="nil"/>
              <w:bottom w:val="single" w:color="auto" w:sz="6" w:space="0"/>
              <w:right w:val="single" w:color="auto" w:sz="6" w:space="0"/>
            </w:tcBorders>
            <w:shd w:val="clear" w:color="auto" w:fill="FFFFFF"/>
            <w:vAlign w:val="center"/>
          </w:tcPr>
          <w:p>
            <w:pPr>
              <w:keepNext w:val="0"/>
              <w:keepLines w:val="0"/>
              <w:pageBreakBefore w:val="0"/>
              <w:kinsoku/>
              <w:overflowPunct/>
              <w:topLinePunct w:val="0"/>
              <w:autoSpaceDE/>
              <w:autoSpaceDN/>
              <w:bidi w:val="0"/>
              <w:spacing w:afterAutospacing="0" w:line="580" w:lineRule="exact"/>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c>
          <w:tcPr>
            <w:tcW w:w="1395" w:type="dxa"/>
            <w:tcBorders>
              <w:top w:val="nil"/>
              <w:left w:val="nil"/>
              <w:bottom w:val="single" w:color="auto" w:sz="6" w:space="0"/>
              <w:right w:val="single" w:color="auto" w:sz="6" w:space="0"/>
            </w:tcBorders>
            <w:shd w:val="clear" w:color="auto" w:fill="FFFFFF"/>
            <w:vAlign w:val="center"/>
          </w:tcPr>
          <w:p>
            <w:pPr>
              <w:keepNext w:val="0"/>
              <w:keepLines w:val="0"/>
              <w:pageBreakBefore w:val="0"/>
              <w:kinsoku/>
              <w:overflowPunct/>
              <w:topLinePunct w:val="0"/>
              <w:autoSpaceDE/>
              <w:autoSpaceDN/>
              <w:bidi w:val="0"/>
              <w:spacing w:afterAutospacing="0" w:line="580" w:lineRule="exact"/>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rHeight w:val="450" w:hRule="atLeast"/>
        </w:trPr>
        <w:tc>
          <w:tcPr>
            <w:tcW w:w="2460" w:type="dxa"/>
            <w:vMerge w:val="restart"/>
            <w:tcBorders>
              <w:top w:val="nil"/>
              <w:left w:val="single" w:color="auto" w:sz="6" w:space="0"/>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4</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2</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3</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4</w:t>
            </w:r>
          </w:p>
        </w:tc>
        <w:tc>
          <w:tcPr>
            <w:tcW w:w="139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rHeight w:val="450" w:hRule="atLeast"/>
        </w:trPr>
        <w:tc>
          <w:tcPr>
            <w:tcW w:w="2460" w:type="dxa"/>
            <w:vMerge w:val="continue"/>
            <w:tcBorders>
              <w:top w:val="nil"/>
              <w:left w:val="single" w:color="auto" w:sz="6" w:space="0"/>
              <w:bottom w:val="single" w:color="auto" w:sz="6" w:space="0"/>
              <w:right w:val="single" w:color="auto" w:sz="6" w:space="0"/>
            </w:tcBorders>
            <w:shd w:val="clear" w:color="auto" w:fill="FFFFFF"/>
            <w:vAlign w:val="center"/>
          </w:tcPr>
          <w:p>
            <w:pPr>
              <w:keepNext w:val="0"/>
              <w:keepLines w:val="0"/>
              <w:pageBreakBefore w:val="0"/>
              <w:kinsoku/>
              <w:overflowPunct/>
              <w:topLinePunct w:val="0"/>
              <w:autoSpaceDE/>
              <w:autoSpaceDN/>
              <w:bidi w:val="0"/>
              <w:spacing w:afterAutospacing="0" w:line="580" w:lineRule="exact"/>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80" w:lineRule="exact"/>
              <w:ind w:left="0"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25%</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80" w:lineRule="exact"/>
              <w:ind w:left="0"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15%</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80" w:lineRule="exact"/>
              <w:ind w:left="0"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10%</w:t>
            </w:r>
          </w:p>
        </w:tc>
        <w:tc>
          <w:tcPr>
            <w:tcW w:w="1395" w:type="dxa"/>
            <w:tcBorders>
              <w:top w:val="nil"/>
              <w:left w:val="nil"/>
              <w:bottom w:val="single" w:color="auto" w:sz="6" w:space="0"/>
              <w:right w:val="single" w:color="auto" w:sz="6" w:space="0"/>
            </w:tcBorders>
            <w:shd w:val="clear" w:color="auto" w:fill="FFFFFF"/>
            <w:vAlign w:val="center"/>
          </w:tcPr>
          <w:p>
            <w:pPr>
              <w:keepNext w:val="0"/>
              <w:keepLines w:val="0"/>
              <w:pageBreakBefore w:val="0"/>
              <w:kinsoku/>
              <w:overflowPunct/>
              <w:topLinePunct w:val="0"/>
              <w:autoSpaceDE/>
              <w:autoSpaceDN/>
              <w:bidi w:val="0"/>
              <w:spacing w:afterAutospacing="0" w:line="580" w:lineRule="exact"/>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rHeight w:val="450" w:hRule="atLeast"/>
        </w:trPr>
        <w:tc>
          <w:tcPr>
            <w:tcW w:w="2460" w:type="dxa"/>
            <w:vMerge w:val="restart"/>
            <w:tcBorders>
              <w:top w:val="nil"/>
              <w:left w:val="single" w:color="auto" w:sz="6" w:space="0"/>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5</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2</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3</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4</w:t>
            </w:r>
          </w:p>
        </w:tc>
        <w:tc>
          <w:tcPr>
            <w:tcW w:w="139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5"/>
              <w:jc w:val="both"/>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rHeight w:val="450" w:hRule="atLeast"/>
        </w:trPr>
        <w:tc>
          <w:tcPr>
            <w:tcW w:w="2460" w:type="dxa"/>
            <w:vMerge w:val="continue"/>
            <w:tcBorders>
              <w:top w:val="nil"/>
              <w:left w:val="single" w:color="auto" w:sz="6" w:space="0"/>
              <w:bottom w:val="single" w:color="auto" w:sz="6" w:space="0"/>
              <w:right w:val="single" w:color="auto" w:sz="6" w:space="0"/>
            </w:tcBorders>
            <w:shd w:val="clear" w:color="auto" w:fill="FFFFFF"/>
            <w:vAlign w:val="center"/>
          </w:tcPr>
          <w:p>
            <w:pPr>
              <w:keepNext w:val="0"/>
              <w:keepLines w:val="0"/>
              <w:pageBreakBefore w:val="0"/>
              <w:kinsoku/>
              <w:overflowPunct/>
              <w:topLinePunct w:val="0"/>
              <w:autoSpaceDE/>
              <w:autoSpaceDN/>
              <w:bidi w:val="0"/>
              <w:adjustRightInd/>
              <w:snapToGrid/>
              <w:spacing w:afterAutospacing="0" w:line="580" w:lineRule="exact"/>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80" w:lineRule="exact"/>
              <w:ind w:left="0"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20%</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80" w:lineRule="exact"/>
              <w:ind w:left="0"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15%</w:t>
            </w:r>
          </w:p>
        </w:tc>
        <w:tc>
          <w:tcPr>
            <w:tcW w:w="133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80" w:lineRule="exact"/>
              <w:ind w:left="0"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10%</w:t>
            </w:r>
          </w:p>
        </w:tc>
        <w:tc>
          <w:tcPr>
            <w:tcW w:w="1395" w:type="dxa"/>
            <w:tcBorders>
              <w:top w:val="nil"/>
              <w:left w:val="nil"/>
              <w:bottom w:val="single" w:color="auto" w:sz="6" w:space="0"/>
              <w:right w:val="single" w:color="auto" w:sz="6" w:space="0"/>
            </w:tcBorders>
            <w:shd w:val="clear" w:color="auto" w:fill="FFFFFF"/>
            <w:vAlign w:val="center"/>
          </w:tcPr>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80" w:lineRule="exact"/>
              <w:ind w:left="0" w:right="0"/>
              <w:jc w:val="center"/>
              <w:textAlignment w:val="auto"/>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仿宋_GB2312" w:eastAsia="仿宋_GB2312" w:cs="仿宋_GB2312"/>
                <w:b w:val="0"/>
                <w:bCs/>
                <w:i w:val="0"/>
                <w:iCs w:val="0"/>
                <w:caps w:val="0"/>
                <w:color w:val="333333"/>
                <w:spacing w:val="0"/>
                <w:kern w:val="44"/>
                <w:sz w:val="30"/>
                <w:szCs w:val="30"/>
                <w:shd w:val="clear" w:color="auto" w:fill="FFFFFF"/>
                <w:lang w:val="zh-CN" w:eastAsia="zh-CN" w:bidi="zh-CN"/>
              </w:rPr>
              <w:t>5%</w:t>
            </w:r>
          </w:p>
        </w:tc>
      </w:tr>
    </w:tbl>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00" w:firstLineChars="200"/>
        <w:jc w:val="both"/>
        <w:textAlignment w:val="auto"/>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0"/>
          <w:szCs w:val="30"/>
          <w:shd w:val="clear" w:color="auto" w:fill="FFFFFF"/>
          <w:lang w:val="zh-CN" w:eastAsia="zh-CN" w:bidi="zh-CN"/>
        </w:rPr>
        <w:t>注：成果完成人数超过5人的按5人计算，排名第5名之后的不予计分。</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第十</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四</w:t>
      </w: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条</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 xml:space="preserve"> </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以南昌应用技术师范学院为第一署名或完成单位的各类教研项目及教研成果的分值，均计入第一完成人。</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center"/>
        <w:textAlignment w:val="auto"/>
        <w:rPr>
          <w:rFonts w:hint="eastAsia" w:ascii="仿宋_GB2312" w:hAnsi="微软雅黑" w:eastAsia="仿宋_GB2312" w:cs="仿宋_GB2312"/>
          <w:b/>
          <w:bCs w:val="0"/>
          <w:i w:val="0"/>
          <w:iCs w:val="0"/>
          <w:caps w:val="0"/>
          <w:color w:val="333333"/>
          <w:spacing w:val="0"/>
          <w:kern w:val="44"/>
          <w:sz w:val="32"/>
          <w:szCs w:val="32"/>
          <w:shd w:val="clear" w:color="auto" w:fill="FFFFFF"/>
          <w:lang w:val="zh-CN" w:eastAsia="zh-CN" w:bidi="zh-CN"/>
        </w:rPr>
      </w:pPr>
      <w:r>
        <w:rPr>
          <w:rFonts w:hint="eastAsia" w:ascii="黑体" w:hAnsi="黑体" w:eastAsia="黑体" w:cs="黑体"/>
          <w:b/>
          <w:bCs w:val="0"/>
          <w:i w:val="0"/>
          <w:iCs w:val="0"/>
          <w:caps w:val="0"/>
          <w:color w:val="333333"/>
          <w:spacing w:val="0"/>
          <w:kern w:val="44"/>
          <w:sz w:val="32"/>
          <w:szCs w:val="32"/>
          <w:shd w:val="clear" w:color="auto" w:fill="FFFFFF"/>
          <w:lang w:val="zh-CN" w:eastAsia="zh-CN" w:bidi="zh-CN"/>
        </w:rPr>
        <w:t xml:space="preserve">第三章 </w:t>
      </w:r>
      <w:r>
        <w:rPr>
          <w:rFonts w:hint="eastAsia" w:ascii="黑体" w:hAnsi="黑体" w:eastAsia="黑体" w:cs="黑体"/>
          <w:b/>
          <w:bCs w:val="0"/>
          <w:i w:val="0"/>
          <w:iCs w:val="0"/>
          <w:caps w:val="0"/>
          <w:color w:val="333333"/>
          <w:spacing w:val="0"/>
          <w:kern w:val="44"/>
          <w:sz w:val="32"/>
          <w:szCs w:val="32"/>
          <w:shd w:val="clear" w:color="auto" w:fill="FFFFFF"/>
          <w:lang w:val="en-US" w:eastAsia="zh-CN" w:bidi="zh-CN"/>
        </w:rPr>
        <w:t xml:space="preserve"> </w:t>
      </w:r>
      <w:r>
        <w:rPr>
          <w:rFonts w:hint="eastAsia" w:ascii="黑体" w:hAnsi="黑体" w:eastAsia="黑体" w:cs="黑体"/>
          <w:b/>
          <w:bCs w:val="0"/>
          <w:i w:val="0"/>
          <w:iCs w:val="0"/>
          <w:caps w:val="0"/>
          <w:color w:val="333333"/>
          <w:spacing w:val="0"/>
          <w:kern w:val="44"/>
          <w:sz w:val="32"/>
          <w:szCs w:val="32"/>
          <w:shd w:val="clear" w:color="auto" w:fill="FFFFFF"/>
          <w:lang w:val="zh-CN" w:eastAsia="zh-CN" w:bidi="zh-CN"/>
        </w:rPr>
        <w:t>教研考核方式</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第十</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五</w:t>
      </w: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条</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 xml:space="preserve"> </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各教学单位的教研平均分按照本单位教研总分除以本单位专职教师人数，即：</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教研平均分=教研总分/本单位专职教师人数</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教研总分由本单位教师教研</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A</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分和</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B</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分累计相加而成。</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right="0"/>
        <w:jc w:val="center"/>
        <w:textAlignment w:val="auto"/>
        <w:rPr>
          <w:rFonts w:hint="eastAsia" w:ascii="仿宋_GB2312" w:hAnsi="微软雅黑" w:eastAsia="仿宋_GB2312" w:cs="仿宋_GB2312"/>
          <w:b/>
          <w:bCs w:val="0"/>
          <w:i w:val="0"/>
          <w:iCs w:val="0"/>
          <w:caps w:val="0"/>
          <w:color w:val="333333"/>
          <w:spacing w:val="0"/>
          <w:kern w:val="44"/>
          <w:sz w:val="32"/>
          <w:szCs w:val="32"/>
          <w:shd w:val="clear" w:color="auto" w:fill="FFFFFF"/>
          <w:lang w:val="zh-CN" w:eastAsia="zh-CN" w:bidi="zh-CN"/>
        </w:rPr>
      </w:pPr>
      <w:r>
        <w:rPr>
          <w:rFonts w:hint="eastAsia" w:ascii="仿宋_GB2312" w:hAnsi="微软雅黑" w:eastAsia="仿宋_GB2312" w:cs="仿宋_GB2312"/>
          <w:b/>
          <w:bCs w:val="0"/>
          <w:i w:val="0"/>
          <w:iCs w:val="0"/>
          <w:caps w:val="0"/>
          <w:color w:val="333333"/>
          <w:spacing w:val="0"/>
          <w:kern w:val="44"/>
          <w:sz w:val="32"/>
          <w:szCs w:val="32"/>
          <w:shd w:val="clear" w:color="auto" w:fill="FFFFFF"/>
          <w:lang w:val="zh-CN" w:eastAsia="zh-CN" w:bidi="zh-CN"/>
        </w:rPr>
        <w:t xml:space="preserve">第四章  附 </w:t>
      </w:r>
      <w:r>
        <w:rPr>
          <w:rFonts w:hint="eastAsia" w:ascii="仿宋_GB2312" w:hAnsi="微软雅黑" w:eastAsia="仿宋_GB2312" w:cs="仿宋_GB2312"/>
          <w:b/>
          <w:bCs w:val="0"/>
          <w:i w:val="0"/>
          <w:iCs w:val="0"/>
          <w:caps w:val="0"/>
          <w:color w:val="333333"/>
          <w:spacing w:val="0"/>
          <w:kern w:val="44"/>
          <w:sz w:val="32"/>
          <w:szCs w:val="32"/>
          <w:shd w:val="clear" w:color="auto" w:fill="FFFFFF"/>
          <w:lang w:val="en-US" w:eastAsia="zh-CN" w:bidi="zh-CN"/>
        </w:rPr>
        <w:t xml:space="preserve"> </w:t>
      </w:r>
      <w:r>
        <w:rPr>
          <w:rFonts w:hint="eastAsia" w:ascii="仿宋_GB2312" w:hAnsi="微软雅黑" w:eastAsia="仿宋_GB2312" w:cs="仿宋_GB2312"/>
          <w:b/>
          <w:bCs w:val="0"/>
          <w:i w:val="0"/>
          <w:iCs w:val="0"/>
          <w:caps w:val="0"/>
          <w:color w:val="333333"/>
          <w:spacing w:val="0"/>
          <w:kern w:val="44"/>
          <w:sz w:val="32"/>
          <w:szCs w:val="32"/>
          <w:shd w:val="clear" w:color="auto" w:fill="FFFFFF"/>
          <w:lang w:val="zh-CN" w:eastAsia="zh-CN" w:bidi="zh-CN"/>
        </w:rPr>
        <w:t>则</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第十</w:t>
      </w:r>
      <w:r>
        <w:rPr>
          <w:rFonts w:hint="eastAsia" w:ascii="楷体" w:hAnsi="楷体" w:eastAsia="楷体" w:cs="楷体"/>
          <w:b/>
          <w:bCs w:val="0"/>
          <w:i w:val="0"/>
          <w:iCs w:val="0"/>
          <w:caps w:val="0"/>
          <w:color w:val="333333"/>
          <w:spacing w:val="0"/>
          <w:kern w:val="44"/>
          <w:sz w:val="32"/>
          <w:szCs w:val="32"/>
          <w:shd w:val="clear" w:color="auto" w:fill="FFFFFF"/>
          <w:lang w:val="en-US" w:eastAsia="zh-CN" w:bidi="zh-CN"/>
        </w:rPr>
        <w:t>六</w:t>
      </w:r>
      <w:r>
        <w:rPr>
          <w:rFonts w:hint="eastAsia" w:ascii="楷体" w:hAnsi="楷体" w:eastAsia="楷体" w:cs="楷体"/>
          <w:b/>
          <w:bCs w:val="0"/>
          <w:i w:val="0"/>
          <w:iCs w:val="0"/>
          <w:caps w:val="0"/>
          <w:color w:val="333333"/>
          <w:spacing w:val="0"/>
          <w:kern w:val="44"/>
          <w:sz w:val="32"/>
          <w:szCs w:val="32"/>
          <w:shd w:val="clear" w:color="auto" w:fill="FFFFFF"/>
          <w:lang w:val="zh-CN" w:eastAsia="zh-CN" w:bidi="zh-CN"/>
        </w:rPr>
        <w:t>条</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 xml:space="preserve"> </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本办法未涉及的项目、成果或奖项，需要申请认定和计分的，由本人提出申请，教务处提出意见，</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学校讨论后</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予以认定。</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3" w:firstLineChars="200"/>
        <w:jc w:val="both"/>
        <w:textAlignment w:val="auto"/>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pPr>
      <w:r>
        <w:rPr>
          <w:rFonts w:hint="eastAsia" w:ascii="仿宋_GB2312" w:hAnsi="微软雅黑" w:eastAsia="仿宋_GB2312" w:cs="仿宋_GB2312"/>
          <w:b/>
          <w:bCs w:val="0"/>
          <w:i w:val="0"/>
          <w:iCs w:val="0"/>
          <w:caps w:val="0"/>
          <w:color w:val="333333"/>
          <w:spacing w:val="0"/>
          <w:kern w:val="44"/>
          <w:sz w:val="32"/>
          <w:szCs w:val="32"/>
          <w:shd w:val="clear" w:color="auto" w:fill="FFFFFF"/>
          <w:lang w:val="zh-CN" w:eastAsia="zh-CN" w:bidi="zh-CN"/>
        </w:rPr>
        <w:t>第十</w:t>
      </w:r>
      <w:r>
        <w:rPr>
          <w:rFonts w:hint="eastAsia" w:ascii="仿宋_GB2312" w:hAnsi="微软雅黑" w:eastAsia="仿宋_GB2312" w:cs="仿宋_GB2312"/>
          <w:b/>
          <w:bCs w:val="0"/>
          <w:i w:val="0"/>
          <w:iCs w:val="0"/>
          <w:caps w:val="0"/>
          <w:color w:val="333333"/>
          <w:spacing w:val="0"/>
          <w:kern w:val="44"/>
          <w:sz w:val="32"/>
          <w:szCs w:val="32"/>
          <w:shd w:val="clear" w:color="auto" w:fill="FFFFFF"/>
          <w:lang w:val="en-US" w:eastAsia="zh-CN" w:bidi="zh-CN"/>
        </w:rPr>
        <w:t>七</w:t>
      </w:r>
      <w:r>
        <w:rPr>
          <w:rFonts w:hint="eastAsia" w:ascii="仿宋_GB2312" w:hAnsi="微软雅黑" w:eastAsia="仿宋_GB2312" w:cs="仿宋_GB2312"/>
          <w:b/>
          <w:bCs w:val="0"/>
          <w:i w:val="0"/>
          <w:iCs w:val="0"/>
          <w:caps w:val="0"/>
          <w:color w:val="333333"/>
          <w:spacing w:val="0"/>
          <w:kern w:val="44"/>
          <w:sz w:val="32"/>
          <w:szCs w:val="32"/>
          <w:shd w:val="clear" w:color="auto" w:fill="FFFFFF"/>
          <w:lang w:val="zh-CN" w:eastAsia="zh-CN" w:bidi="zh-CN"/>
        </w:rPr>
        <w:t>条</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 xml:space="preserve"> </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 xml:space="preserve"> </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本办法自</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2023年6月25日印发之</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日起</w:t>
      </w:r>
      <w:r>
        <w:rPr>
          <w:rFonts w:hint="eastAsia" w:ascii="仿宋_GB2312" w:hAnsi="微软雅黑" w:eastAsia="仿宋_GB2312" w:cs="仿宋_GB2312"/>
          <w:b w:val="0"/>
          <w:bCs/>
          <w:i w:val="0"/>
          <w:iCs w:val="0"/>
          <w:caps w:val="0"/>
          <w:color w:val="333333"/>
          <w:spacing w:val="0"/>
          <w:kern w:val="44"/>
          <w:sz w:val="32"/>
          <w:szCs w:val="32"/>
          <w:shd w:val="clear" w:color="auto" w:fill="FFFFFF"/>
          <w:lang w:val="en-US" w:eastAsia="zh-CN" w:bidi="zh-CN"/>
        </w:rPr>
        <w:t>施</w:t>
      </w:r>
      <w:r>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t>行，由教务处负责解释。</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rPr>
          <w:rFonts w:hint="eastAsia" w:ascii="仿宋_GB2312" w:hAnsi="微软雅黑" w:eastAsia="仿宋_GB2312" w:cs="仿宋_GB2312"/>
          <w:b w:val="0"/>
          <w:bCs/>
          <w:i w:val="0"/>
          <w:iCs w:val="0"/>
          <w:caps w:val="0"/>
          <w:color w:val="333333"/>
          <w:spacing w:val="0"/>
          <w:kern w:val="44"/>
          <w:sz w:val="32"/>
          <w:szCs w:val="32"/>
          <w:shd w:val="clear" w:color="auto" w:fill="FFFFFF"/>
          <w:lang w:val="zh-CN" w:eastAsia="zh-CN" w:bidi="zh-CN"/>
        </w:rPr>
      </w:pPr>
    </w:p>
    <w:sectPr>
      <w:headerReference r:id="rId3" w:type="default"/>
      <w:footerReference r:id="rId4" w:type="default"/>
      <w:footerReference r:id="rId5" w:type="even"/>
      <w:pgSz w:w="11906" w:h="16838"/>
      <w:pgMar w:top="2098" w:right="1588" w:bottom="1871" w:left="1588" w:header="851" w:footer="992" w:gutter="0"/>
      <w:pgNumType w:fmt="numberInDash" w:start="1"/>
      <w:cols w:space="0" w:num="1"/>
      <w:rtlGutter w:val="0"/>
      <w:docGrid w:type="lines" w:linePitch="57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right"/>
      <w:rPr>
        <w:rFonts w:ascii="仿宋" w:hAnsi="仿宋" w:eastAsia="仿宋"/>
        <w:sz w:val="30"/>
        <w:szCs w:val="30"/>
      </w:rPr>
    </w:pPr>
    <w:r>
      <w:rPr>
        <w:sz w:val="30"/>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jc w:val="righ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fldChar w:fldCharType="begin"/>
                          </w:r>
                          <w:r>
                            <w:rPr>
                              <w:rFonts w:hint="eastAsia" w:ascii="仿宋_GB2312" w:hAnsi="仿宋_GB2312" w:eastAsia="仿宋_GB2312" w:cs="仿宋_GB2312"/>
                              <w:sz w:val="30"/>
                              <w:szCs w:val="30"/>
                            </w:rPr>
                            <w:instrText xml:space="preserve"> PAGE   \* MERGEFORMAT </w:instrText>
                          </w:r>
                          <w:r>
                            <w:rPr>
                              <w:rFonts w:hint="eastAsia" w:ascii="仿宋_GB2312" w:hAnsi="仿宋_GB2312" w:eastAsia="仿宋_GB2312" w:cs="仿宋_GB2312"/>
                              <w:sz w:val="30"/>
                              <w:szCs w:val="30"/>
                            </w:rPr>
                            <w:fldChar w:fldCharType="separate"/>
                          </w:r>
                          <w:r>
                            <w:rPr>
                              <w:rFonts w:hint="eastAsia" w:ascii="仿宋_GB2312" w:hAnsi="仿宋_GB2312" w:eastAsia="仿宋_GB2312" w:cs="仿宋_GB2312"/>
                              <w:sz w:val="30"/>
                              <w:szCs w:val="30"/>
                              <w:lang w:val="zh-CN"/>
                            </w:rPr>
                            <w:t>-</w:t>
                          </w:r>
                          <w:r>
                            <w:rPr>
                              <w:rFonts w:hint="eastAsia" w:ascii="仿宋_GB2312" w:hAnsi="仿宋_GB2312" w:eastAsia="仿宋_GB2312" w:cs="仿宋_GB2312"/>
                              <w:sz w:val="30"/>
                              <w:szCs w:val="30"/>
                            </w:rPr>
                            <w:t xml:space="preserve"> 1 -</w:t>
                          </w:r>
                          <w:r>
                            <w:rPr>
                              <w:rFonts w:hint="eastAsia" w:ascii="仿宋_GB2312" w:hAnsi="仿宋_GB2312" w:eastAsia="仿宋_GB2312" w:cs="仿宋_GB2312"/>
                              <w:sz w:val="30"/>
                              <w:szCs w:val="30"/>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6"/>
                      <w:jc w:val="righ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fldChar w:fldCharType="begin"/>
                    </w:r>
                    <w:r>
                      <w:rPr>
                        <w:rFonts w:hint="eastAsia" w:ascii="仿宋_GB2312" w:hAnsi="仿宋_GB2312" w:eastAsia="仿宋_GB2312" w:cs="仿宋_GB2312"/>
                        <w:sz w:val="30"/>
                        <w:szCs w:val="30"/>
                      </w:rPr>
                      <w:instrText xml:space="preserve"> PAGE   \* MERGEFORMAT </w:instrText>
                    </w:r>
                    <w:r>
                      <w:rPr>
                        <w:rFonts w:hint="eastAsia" w:ascii="仿宋_GB2312" w:hAnsi="仿宋_GB2312" w:eastAsia="仿宋_GB2312" w:cs="仿宋_GB2312"/>
                        <w:sz w:val="30"/>
                        <w:szCs w:val="30"/>
                      </w:rPr>
                      <w:fldChar w:fldCharType="separate"/>
                    </w:r>
                    <w:r>
                      <w:rPr>
                        <w:rFonts w:hint="eastAsia" w:ascii="仿宋_GB2312" w:hAnsi="仿宋_GB2312" w:eastAsia="仿宋_GB2312" w:cs="仿宋_GB2312"/>
                        <w:sz w:val="30"/>
                        <w:szCs w:val="30"/>
                        <w:lang w:val="zh-CN"/>
                      </w:rPr>
                      <w:t>-</w:t>
                    </w:r>
                    <w:r>
                      <w:rPr>
                        <w:rFonts w:hint="eastAsia" w:ascii="仿宋_GB2312" w:hAnsi="仿宋_GB2312" w:eastAsia="仿宋_GB2312" w:cs="仿宋_GB2312"/>
                        <w:sz w:val="30"/>
                        <w:szCs w:val="30"/>
                      </w:rPr>
                      <w:t xml:space="preserve"> 1 -</w:t>
                    </w:r>
                    <w:r>
                      <w:rPr>
                        <w:rFonts w:hint="eastAsia" w:ascii="仿宋_GB2312" w:hAnsi="仿宋_GB2312" w:eastAsia="仿宋_GB2312" w:cs="仿宋_GB2312"/>
                        <w:sz w:val="30"/>
                        <w:szCs w:val="30"/>
                      </w:rPr>
                      <w:fldChar w:fldCharType="end"/>
                    </w:r>
                  </w:p>
                </w:txbxContent>
              </v:textbox>
            </v:shape>
          </w:pict>
        </mc:Fallback>
      </mc:AlternateContent>
    </w:r>
  </w:p>
  <w:p>
    <w:pPr>
      <w:pStyle w:val="6"/>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left"/>
      <w:rPr>
        <w:rFonts w:ascii="仿宋" w:hAnsi="仿宋" w:eastAsia="仿宋"/>
        <w:sz w:val="30"/>
        <w:szCs w:val="30"/>
      </w:rPr>
    </w:pPr>
    <w:r>
      <w:rPr>
        <w:sz w:val="30"/>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jc w:val="left"/>
                          </w:pPr>
                          <w:r>
                            <w:rPr>
                              <w:rFonts w:ascii="仿宋" w:hAnsi="仿宋" w:eastAsia="仿宋"/>
                              <w:sz w:val="30"/>
                              <w:szCs w:val="30"/>
                            </w:rPr>
                            <w:fldChar w:fldCharType="begin"/>
                          </w:r>
                          <w:r>
                            <w:rPr>
                              <w:rFonts w:ascii="仿宋" w:hAnsi="仿宋" w:eastAsia="仿宋"/>
                              <w:sz w:val="30"/>
                              <w:szCs w:val="30"/>
                            </w:rPr>
                            <w:instrText xml:space="preserve"> PAGE   \* MERGEFORMAT </w:instrText>
                          </w:r>
                          <w:r>
                            <w:rPr>
                              <w:rFonts w:ascii="仿宋" w:hAnsi="仿宋" w:eastAsia="仿宋"/>
                              <w:sz w:val="30"/>
                              <w:szCs w:val="30"/>
                            </w:rPr>
                            <w:fldChar w:fldCharType="separate"/>
                          </w:r>
                          <w:r>
                            <w:rPr>
                              <w:rFonts w:ascii="仿宋" w:hAnsi="仿宋" w:eastAsia="仿宋"/>
                              <w:sz w:val="30"/>
                              <w:szCs w:val="30"/>
                            </w:rPr>
                            <w:t>- 2 -</w:t>
                          </w:r>
                          <w:r>
                            <w:rPr>
                              <w:rFonts w:ascii="仿宋" w:hAnsi="仿宋" w:eastAsia="仿宋"/>
                              <w:sz w:val="30"/>
                              <w:szCs w:val="30"/>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6"/>
                      <w:jc w:val="left"/>
                    </w:pPr>
                    <w:r>
                      <w:rPr>
                        <w:rFonts w:ascii="仿宋" w:hAnsi="仿宋" w:eastAsia="仿宋"/>
                        <w:sz w:val="30"/>
                        <w:szCs w:val="30"/>
                      </w:rPr>
                      <w:fldChar w:fldCharType="begin"/>
                    </w:r>
                    <w:r>
                      <w:rPr>
                        <w:rFonts w:ascii="仿宋" w:hAnsi="仿宋" w:eastAsia="仿宋"/>
                        <w:sz w:val="30"/>
                        <w:szCs w:val="30"/>
                      </w:rPr>
                      <w:instrText xml:space="preserve"> PAGE   \* MERGEFORMAT </w:instrText>
                    </w:r>
                    <w:r>
                      <w:rPr>
                        <w:rFonts w:ascii="仿宋" w:hAnsi="仿宋" w:eastAsia="仿宋"/>
                        <w:sz w:val="30"/>
                        <w:szCs w:val="30"/>
                      </w:rPr>
                      <w:fldChar w:fldCharType="separate"/>
                    </w:r>
                    <w:r>
                      <w:rPr>
                        <w:rFonts w:ascii="仿宋" w:hAnsi="仿宋" w:eastAsia="仿宋"/>
                        <w:sz w:val="30"/>
                        <w:szCs w:val="30"/>
                      </w:rPr>
                      <w:t>- 2 -</w:t>
                    </w:r>
                    <w:r>
                      <w:rPr>
                        <w:rFonts w:ascii="仿宋" w:hAnsi="仿宋" w:eastAsia="仿宋"/>
                        <w:sz w:val="30"/>
                        <w:szCs w:val="30"/>
                      </w:rPr>
                      <w:fldChar w:fldCharType="end"/>
                    </w:r>
                  </w:p>
                </w:txbxContent>
              </v:textbox>
            </v:shape>
          </w:pict>
        </mc:Fallback>
      </mc:AlternateContent>
    </w:r>
  </w:p>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evenAndOddHeaders w:val="1"/>
  <w:drawingGridHorizontalSpacing w:val="105"/>
  <w:drawingGridVerticalSpacing w:val="287"/>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5Yjg0NDg5ZmNhMjNhZGUwNDZiNDA0ODIxOWYzNWIifQ=="/>
  </w:docVars>
  <w:rsids>
    <w:rsidRoot w:val="00DC48BD"/>
    <w:rsid w:val="00061C8E"/>
    <w:rsid w:val="00197BB9"/>
    <w:rsid w:val="003523D0"/>
    <w:rsid w:val="0038283C"/>
    <w:rsid w:val="0065696B"/>
    <w:rsid w:val="00740770"/>
    <w:rsid w:val="007C7EFA"/>
    <w:rsid w:val="008B34CE"/>
    <w:rsid w:val="00946359"/>
    <w:rsid w:val="009D298B"/>
    <w:rsid w:val="00A83F46"/>
    <w:rsid w:val="00B1131A"/>
    <w:rsid w:val="00BB1F51"/>
    <w:rsid w:val="00C243A4"/>
    <w:rsid w:val="00C55486"/>
    <w:rsid w:val="00D20087"/>
    <w:rsid w:val="00DC48BD"/>
    <w:rsid w:val="00F0799C"/>
    <w:rsid w:val="00F7564E"/>
    <w:rsid w:val="00FB7A05"/>
    <w:rsid w:val="00FC4843"/>
    <w:rsid w:val="02E42DB9"/>
    <w:rsid w:val="0493035B"/>
    <w:rsid w:val="0B1D155E"/>
    <w:rsid w:val="11DD6B40"/>
    <w:rsid w:val="11ED6976"/>
    <w:rsid w:val="12422942"/>
    <w:rsid w:val="15605E7B"/>
    <w:rsid w:val="1F8A08AE"/>
    <w:rsid w:val="1FF16DE9"/>
    <w:rsid w:val="22634712"/>
    <w:rsid w:val="22F9592E"/>
    <w:rsid w:val="280E7C06"/>
    <w:rsid w:val="29403270"/>
    <w:rsid w:val="2A3847C7"/>
    <w:rsid w:val="2D4E67A4"/>
    <w:rsid w:val="2FCB6BBE"/>
    <w:rsid w:val="30252BEA"/>
    <w:rsid w:val="317E09EB"/>
    <w:rsid w:val="374F3680"/>
    <w:rsid w:val="391F21A1"/>
    <w:rsid w:val="3DAD73C8"/>
    <w:rsid w:val="3DE43E46"/>
    <w:rsid w:val="4097013E"/>
    <w:rsid w:val="45F3227A"/>
    <w:rsid w:val="4E225292"/>
    <w:rsid w:val="50A16AAD"/>
    <w:rsid w:val="53B042EA"/>
    <w:rsid w:val="553C1A28"/>
    <w:rsid w:val="57E65FC9"/>
    <w:rsid w:val="5BF133D0"/>
    <w:rsid w:val="5C061758"/>
    <w:rsid w:val="605A740D"/>
    <w:rsid w:val="6AB452B0"/>
    <w:rsid w:val="76147BBF"/>
    <w:rsid w:val="775C71E2"/>
    <w:rsid w:val="78A506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仿宋"/>
      <w:b/>
      <w:kern w:val="44"/>
      <w:sz w:val="32"/>
      <w:szCs w:val="48"/>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unhideWhenUsed/>
    <w:qFormat/>
    <w:uiPriority w:val="0"/>
    <w:pPr>
      <w:jc w:val="left"/>
    </w:pPr>
    <w:rPr>
      <w:rFonts w:ascii="Calibri" w:hAnsi="Calibri" w:eastAsia="宋体" w:cs="Calibri"/>
      <w:szCs w:val="21"/>
    </w:rPr>
  </w:style>
  <w:style w:type="paragraph" w:styleId="4">
    <w:name w:val="Body Text Indent"/>
    <w:basedOn w:val="1"/>
    <w:qFormat/>
    <w:uiPriority w:val="0"/>
    <w:pPr>
      <w:spacing w:after="120"/>
      <w:ind w:left="420" w:leftChars="200"/>
    </w:pPr>
    <w:rPr>
      <w:rFonts w:ascii="Times New Roman" w:hAnsi="Times New Roman" w:eastAsia="宋体" w:cs="Times New Roman"/>
      <w:szCs w:val="24"/>
    </w:rPr>
  </w:style>
  <w:style w:type="paragraph" w:styleId="5">
    <w:name w:val="Balloon Text"/>
    <w:basedOn w:val="1"/>
    <w:link w:val="14"/>
    <w:semiHidden/>
    <w:unhideWhenUsed/>
    <w:qFormat/>
    <w:uiPriority w:val="99"/>
    <w:rPr>
      <w:sz w:val="18"/>
      <w:szCs w:val="18"/>
    </w:rPr>
  </w:style>
  <w:style w:type="paragraph" w:styleId="6">
    <w:name w:val="footer"/>
    <w:basedOn w:val="1"/>
    <w:link w:val="13"/>
    <w:qFormat/>
    <w:uiPriority w:val="99"/>
    <w:pPr>
      <w:tabs>
        <w:tab w:val="center" w:pos="4153"/>
        <w:tab w:val="right" w:pos="8306"/>
      </w:tabs>
      <w:snapToGrid w:val="0"/>
      <w:jc w:val="left"/>
    </w:pPr>
    <w:rPr>
      <w:sz w:val="18"/>
      <w:szCs w:val="18"/>
    </w:rPr>
  </w:style>
  <w:style w:type="paragraph" w:styleId="7">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rFonts w:cs="Times New Roman"/>
      <w:kern w:val="0"/>
      <w:sz w:val="24"/>
    </w:rPr>
  </w:style>
  <w:style w:type="character" w:styleId="11">
    <w:name w:val="Strong"/>
    <w:basedOn w:val="10"/>
    <w:qFormat/>
    <w:uiPriority w:val="22"/>
    <w:rPr>
      <w:b/>
    </w:rPr>
  </w:style>
  <w:style w:type="character" w:customStyle="1" w:styleId="12">
    <w:name w:val="页眉 Char"/>
    <w:basedOn w:val="10"/>
    <w:link w:val="7"/>
    <w:qFormat/>
    <w:uiPriority w:val="0"/>
    <w:rPr>
      <w:rFonts w:ascii="Times New Roman" w:hAnsi="Times New Roman" w:eastAsia="宋体" w:cs="Times New Roman"/>
      <w:sz w:val="18"/>
      <w:szCs w:val="18"/>
    </w:rPr>
  </w:style>
  <w:style w:type="character" w:customStyle="1" w:styleId="13">
    <w:name w:val="页脚 Char"/>
    <w:basedOn w:val="10"/>
    <w:link w:val="6"/>
    <w:qFormat/>
    <w:uiPriority w:val="99"/>
    <w:rPr>
      <w:rFonts w:ascii="Times New Roman" w:hAnsi="Times New Roman" w:eastAsia="宋体" w:cs="Times New Roman"/>
      <w:sz w:val="18"/>
      <w:szCs w:val="18"/>
    </w:rPr>
  </w:style>
  <w:style w:type="character" w:customStyle="1" w:styleId="14">
    <w:name w:val="批注框文本 Char"/>
    <w:basedOn w:val="10"/>
    <w:link w:val="5"/>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mycomputer</Company>
  <Pages>10</Pages>
  <Words>2580</Words>
  <Characters>2696</Characters>
  <Lines>3</Lines>
  <Paragraphs>1</Paragraphs>
  <TotalTime>28</TotalTime>
  <ScaleCrop>false</ScaleCrop>
  <LinksUpToDate>false</LinksUpToDate>
  <CharactersWithSpaces>2790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2021-06-17T08:05:00Z</dcterms:created>
  <dc:creator>Administrator</dc:creator>
  <cp:lastModifiedBy>芝麻</cp:lastModifiedBy>
  <cp:lastPrinted>2023-06-25T03:00:00Z</cp:lastPrinted>
  <dcterms:modified xsi:type="dcterms:W3CDTF">2023-06-26T07:54:07Z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8C33D0EFFC984CC19FC94E985B3389EB_13</vt:lpwstr>
  </property>
</Properties>
</file>